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30C85" w14:textId="5041B43C" w:rsidR="00012565" w:rsidRPr="00FD0347" w:rsidRDefault="00FD0347" w:rsidP="00012565">
      <w:pPr>
        <w:pStyle w:val="BodyText"/>
        <w:jc w:val="center"/>
        <w:rPr>
          <w:rFonts w:ascii="Arial" w:hAnsi="Arial" w:cs="Arial"/>
          <w:b/>
          <w:sz w:val="20"/>
          <w:lang w:val="en-US"/>
        </w:rPr>
      </w:pPr>
      <w:r>
        <w:rPr>
          <w:rFonts w:ascii="Arial" w:hAnsi="Arial" w:cs="Arial"/>
          <w:b/>
          <w:sz w:val="20"/>
          <w:lang w:val="en-US"/>
        </w:rPr>
        <w:t>DATA PROCESSING ADDENDUM</w:t>
      </w:r>
    </w:p>
    <w:p w14:paraId="70FE34F5" w14:textId="5FC34D72" w:rsidR="009B1C77" w:rsidRDefault="00F610F4" w:rsidP="00930083">
      <w:pPr>
        <w:spacing w:line="254" w:lineRule="exact"/>
        <w:ind w:right="52"/>
        <w:jc w:val="both"/>
        <w:rPr>
          <w:rFonts w:ascii="Arial" w:hAnsi="Arial"/>
          <w:sz w:val="20"/>
        </w:rPr>
      </w:pPr>
      <w:r>
        <w:rPr>
          <w:rFonts w:ascii="Arial" w:hAnsi="Arial"/>
          <w:b/>
          <w:sz w:val="20"/>
        </w:rPr>
        <w:t xml:space="preserve">THIS </w:t>
      </w:r>
      <w:r w:rsidR="00CB441B">
        <w:rPr>
          <w:rFonts w:ascii="Arial" w:hAnsi="Arial"/>
          <w:b/>
          <w:sz w:val="20"/>
        </w:rPr>
        <w:t xml:space="preserve">DATA PROCESSING </w:t>
      </w:r>
      <w:r>
        <w:rPr>
          <w:rFonts w:ascii="Arial" w:hAnsi="Arial"/>
          <w:b/>
          <w:sz w:val="20"/>
        </w:rPr>
        <w:t>ADDENDUM</w:t>
      </w:r>
      <w:r>
        <w:rPr>
          <w:rFonts w:ascii="Arial" w:hAnsi="Arial"/>
          <w:sz w:val="20"/>
        </w:rPr>
        <w:t xml:space="preserve">, dated as of the date executed by OTC MARKETS GROUP INC., a Delaware corporation with an office located at </w:t>
      </w:r>
      <w:r w:rsidR="006E79CD">
        <w:rPr>
          <w:rFonts w:ascii="Arial" w:hAnsi="Arial" w:cs="Arial"/>
          <w:sz w:val="20"/>
        </w:rPr>
        <w:t>300 Vesey Street, 12</w:t>
      </w:r>
      <w:r w:rsidR="006E79CD">
        <w:rPr>
          <w:rFonts w:ascii="Arial" w:hAnsi="Arial" w:cs="Arial"/>
          <w:sz w:val="20"/>
          <w:vertAlign w:val="superscript"/>
        </w:rPr>
        <w:t>th</w:t>
      </w:r>
      <w:r w:rsidR="006E79CD">
        <w:rPr>
          <w:rFonts w:ascii="Arial" w:hAnsi="Arial" w:cs="Arial"/>
          <w:sz w:val="20"/>
        </w:rPr>
        <w:t xml:space="preserve"> Floor, New York, NY 10282 </w:t>
      </w:r>
      <w:r>
        <w:rPr>
          <w:rFonts w:ascii="Arial" w:hAnsi="Arial"/>
          <w:sz w:val="20"/>
        </w:rPr>
        <w:t xml:space="preserve">(“OTC Markets Group”), modifies and amends the Market Data Distribution Agreement (the “Distribution Agreement,” and together with all attachments, addenda, cover sheets, amendments, exhibits, schedules, and other materials referenced therein, </w:t>
      </w:r>
      <w:r>
        <w:rPr>
          <w:rFonts w:ascii="Arial" w:hAnsi="Arial" w:cs="Arial"/>
          <w:sz w:val="20"/>
        </w:rPr>
        <w:t xml:space="preserve">including but not limited to the Market Data Policies, as any of these items may be added to, deleted from or amended from time-to-time, </w:t>
      </w:r>
      <w:r>
        <w:rPr>
          <w:rFonts w:ascii="Arial" w:hAnsi="Arial"/>
          <w:sz w:val="20"/>
        </w:rPr>
        <w:t>collectively, the “Agreement”), which is part of the Agreement by and between OTC Markets Group and the Distributor, as identified below, and terminates and supersedes any and all prior Data Processing Addendum</w:t>
      </w:r>
      <w:r w:rsidR="00621305">
        <w:rPr>
          <w:rFonts w:ascii="Arial" w:hAnsi="Arial"/>
          <w:sz w:val="20"/>
        </w:rPr>
        <w:t>(</w:t>
      </w:r>
      <w:r>
        <w:rPr>
          <w:rFonts w:ascii="Arial" w:hAnsi="Arial"/>
          <w:sz w:val="20"/>
        </w:rPr>
        <w:t>s</w:t>
      </w:r>
      <w:r w:rsidR="00621305">
        <w:rPr>
          <w:rFonts w:ascii="Arial" w:hAnsi="Arial"/>
          <w:sz w:val="20"/>
        </w:rPr>
        <w:t>)</w:t>
      </w:r>
      <w:r>
        <w:rPr>
          <w:rFonts w:ascii="Arial" w:hAnsi="Arial"/>
          <w:sz w:val="20"/>
        </w:rPr>
        <w:t xml:space="preserve"> to the Distribution Agreement, as follows:</w:t>
      </w:r>
    </w:p>
    <w:p w14:paraId="0322C401" w14:textId="67C6116F" w:rsidR="009B1C77" w:rsidRDefault="009B1C77" w:rsidP="00F610F4">
      <w:pPr>
        <w:tabs>
          <w:tab w:val="left" w:pos="2160"/>
        </w:tabs>
        <w:jc w:val="both"/>
        <w:rPr>
          <w:rFonts w:ascii="Arial" w:hAnsi="Arial"/>
          <w:sz w:val="20"/>
        </w:rPr>
      </w:pPr>
    </w:p>
    <w:p w14:paraId="3497BC93" w14:textId="3447CB1E" w:rsidR="009B1C77" w:rsidRDefault="009B1C77" w:rsidP="00F610F4">
      <w:pPr>
        <w:tabs>
          <w:tab w:val="left" w:pos="2160"/>
        </w:tabs>
        <w:jc w:val="both"/>
        <w:rPr>
          <w:rFonts w:ascii="Arial" w:hAnsi="Arial"/>
          <w:sz w:val="20"/>
        </w:rPr>
      </w:pPr>
      <w:r>
        <w:rPr>
          <w:rFonts w:ascii="Arial" w:hAnsi="Arial"/>
          <w:b/>
          <w:sz w:val="20"/>
        </w:rPr>
        <w:t>WHEREAS</w:t>
      </w:r>
      <w:r>
        <w:rPr>
          <w:rFonts w:ascii="Arial" w:hAnsi="Arial"/>
          <w:sz w:val="20"/>
        </w:rPr>
        <w:t xml:space="preserve">, in order to meet the cross-border transfer requirements under applicable Data Protection Laws, </w:t>
      </w:r>
      <w:r w:rsidR="00982241">
        <w:rPr>
          <w:rFonts w:ascii="Arial" w:hAnsi="Arial"/>
          <w:sz w:val="20"/>
        </w:rPr>
        <w:t>the parties agree to the following terms</w:t>
      </w:r>
      <w:r w:rsidR="00621305">
        <w:rPr>
          <w:rFonts w:ascii="Arial" w:hAnsi="Arial"/>
          <w:sz w:val="20"/>
        </w:rPr>
        <w:t xml:space="preserve"> contained in this </w:t>
      </w:r>
      <w:r w:rsidR="0084093A">
        <w:rPr>
          <w:rFonts w:ascii="Arial" w:hAnsi="Arial"/>
          <w:sz w:val="20"/>
        </w:rPr>
        <w:t xml:space="preserve">Data Processing </w:t>
      </w:r>
      <w:r w:rsidR="00621305">
        <w:rPr>
          <w:rFonts w:ascii="Arial" w:hAnsi="Arial"/>
          <w:sz w:val="20"/>
        </w:rPr>
        <w:t xml:space="preserve">Addendum, including the Standard Contractual Clauses </w:t>
      </w:r>
      <w:r w:rsidR="00CB441B">
        <w:rPr>
          <w:rFonts w:ascii="Arial" w:hAnsi="Arial"/>
          <w:sz w:val="20"/>
        </w:rPr>
        <w:t xml:space="preserve">attached hereto as Appendix 1 and </w:t>
      </w:r>
      <w:r w:rsidR="00621305">
        <w:rPr>
          <w:rFonts w:ascii="Arial" w:hAnsi="Arial"/>
          <w:sz w:val="20"/>
        </w:rPr>
        <w:t>incorporated herein, (collectively, the “</w:t>
      </w:r>
      <w:r w:rsidR="00621305" w:rsidRPr="00621305">
        <w:rPr>
          <w:rFonts w:ascii="Arial" w:hAnsi="Arial"/>
          <w:b/>
          <w:sz w:val="20"/>
        </w:rPr>
        <w:t>Data Processing Addendum</w:t>
      </w:r>
      <w:r w:rsidR="00621305">
        <w:rPr>
          <w:rFonts w:ascii="Arial" w:hAnsi="Arial"/>
          <w:sz w:val="20"/>
        </w:rPr>
        <w:t xml:space="preserve">”).  </w:t>
      </w:r>
    </w:p>
    <w:p w14:paraId="0B9E31DD" w14:textId="77777777" w:rsidR="00F610F4" w:rsidRPr="00F610F4" w:rsidRDefault="00F610F4" w:rsidP="00F610F4">
      <w:pPr>
        <w:tabs>
          <w:tab w:val="left" w:pos="2160"/>
        </w:tabs>
        <w:jc w:val="both"/>
        <w:rPr>
          <w:rFonts w:ascii="Arial" w:hAnsi="Arial"/>
          <w:sz w:val="20"/>
        </w:rPr>
      </w:pPr>
    </w:p>
    <w:p w14:paraId="7AD087F9" w14:textId="59CFCCED" w:rsidR="00012565" w:rsidRPr="0099478C" w:rsidRDefault="00012565" w:rsidP="00012565">
      <w:pPr>
        <w:numPr>
          <w:ilvl w:val="0"/>
          <w:numId w:val="1"/>
        </w:numPr>
        <w:tabs>
          <w:tab w:val="left" w:pos="-720"/>
        </w:tabs>
        <w:spacing w:after="240"/>
        <w:jc w:val="both"/>
        <w:rPr>
          <w:rFonts w:ascii="Arial" w:hAnsi="Arial" w:cs="Arial"/>
          <w:sz w:val="20"/>
        </w:rPr>
      </w:pPr>
      <w:r w:rsidRPr="0099478C">
        <w:rPr>
          <w:rFonts w:ascii="Arial" w:hAnsi="Arial" w:cs="Arial"/>
          <w:b/>
          <w:sz w:val="20"/>
        </w:rPr>
        <w:t>Definitions.</w:t>
      </w:r>
      <w:r>
        <w:rPr>
          <w:rFonts w:ascii="Arial" w:hAnsi="Arial" w:cs="Arial"/>
          <w:b/>
          <w:sz w:val="20"/>
        </w:rPr>
        <w:t xml:space="preserve">  </w:t>
      </w:r>
      <w:r w:rsidR="00F610F4">
        <w:rPr>
          <w:rFonts w:ascii="Arial" w:hAnsi="Arial"/>
          <w:sz w:val="20"/>
        </w:rPr>
        <w:t>The terms used, but not otherwise defined herein, shall have the meanings assigned to them in the Distribution Agreement.</w:t>
      </w:r>
    </w:p>
    <w:p w14:paraId="2ADF9212" w14:textId="4B1A78C7" w:rsidR="00012565" w:rsidRPr="009B1C77" w:rsidRDefault="00012565" w:rsidP="00012565">
      <w:pPr>
        <w:pStyle w:val="BodyText"/>
        <w:numPr>
          <w:ilvl w:val="1"/>
          <w:numId w:val="1"/>
        </w:numPr>
        <w:ind w:left="86"/>
        <w:rPr>
          <w:rFonts w:ascii="Arial" w:hAnsi="Arial" w:cs="Arial"/>
          <w:sz w:val="20"/>
        </w:rPr>
      </w:pPr>
      <w:r>
        <w:rPr>
          <w:rFonts w:ascii="Arial" w:hAnsi="Arial" w:cs="Arial"/>
          <w:b/>
          <w:sz w:val="20"/>
          <w:lang w:val="en-US"/>
        </w:rPr>
        <w:t>“Data Protection Laws”</w:t>
      </w:r>
      <w:r>
        <w:rPr>
          <w:rFonts w:ascii="Arial" w:hAnsi="Arial" w:cs="Arial"/>
          <w:sz w:val="20"/>
          <w:lang w:val="en-US"/>
        </w:rPr>
        <w:t xml:space="preserve"> means laws and regulations that govern and restrict the collection, storage, processing, disclosure or use of Personal Data, including, but not limited to, the European Union General Data Protection Regulation 2016/679 (“</w:t>
      </w:r>
      <w:r w:rsidRPr="00E75259">
        <w:rPr>
          <w:rFonts w:ascii="Arial" w:hAnsi="Arial" w:cs="Arial"/>
          <w:b/>
          <w:sz w:val="20"/>
          <w:lang w:val="en-US"/>
        </w:rPr>
        <w:t>GDPR</w:t>
      </w:r>
      <w:r>
        <w:rPr>
          <w:rFonts w:ascii="Arial" w:hAnsi="Arial" w:cs="Arial"/>
          <w:sz w:val="20"/>
          <w:lang w:val="en-US"/>
        </w:rPr>
        <w:t xml:space="preserve">”).  </w:t>
      </w:r>
    </w:p>
    <w:p w14:paraId="2A09612D" w14:textId="5BBC3130" w:rsidR="009B1C77" w:rsidRPr="00A267EB" w:rsidRDefault="003B2602" w:rsidP="00B60B6D">
      <w:pPr>
        <w:pStyle w:val="BodyText"/>
        <w:numPr>
          <w:ilvl w:val="1"/>
          <w:numId w:val="1"/>
        </w:numPr>
        <w:rPr>
          <w:rFonts w:ascii="Arial" w:hAnsi="Arial" w:cs="Arial"/>
          <w:sz w:val="20"/>
          <w:lang w:val="en-US"/>
        </w:rPr>
      </w:pPr>
      <w:r>
        <w:rPr>
          <w:rFonts w:ascii="Arial" w:hAnsi="Arial" w:cs="Arial"/>
          <w:b/>
          <w:sz w:val="20"/>
          <w:lang w:val="en-US"/>
        </w:rPr>
        <w:t xml:space="preserve"> </w:t>
      </w:r>
      <w:r w:rsidR="009B1C77">
        <w:rPr>
          <w:rFonts w:ascii="Arial" w:hAnsi="Arial" w:cs="Arial"/>
          <w:b/>
          <w:sz w:val="20"/>
          <w:lang w:val="en-US"/>
        </w:rPr>
        <w:t>“Standard Contractual Clauses”</w:t>
      </w:r>
      <w:r w:rsidR="009B1C77" w:rsidRPr="009B1C77">
        <w:rPr>
          <w:rFonts w:ascii="Arial" w:hAnsi="Arial" w:cs="Arial"/>
          <w:sz w:val="20"/>
          <w:lang w:val="en-US"/>
        </w:rPr>
        <w:t xml:space="preserve"> </w:t>
      </w:r>
      <w:r w:rsidR="005C58A9" w:rsidRPr="005C58A9">
        <w:rPr>
          <w:rFonts w:ascii="Arial" w:hAnsi="Arial" w:cs="Arial"/>
          <w:sz w:val="20"/>
          <w:lang w:val="en-US"/>
        </w:rPr>
        <w:t xml:space="preserve">means the </w:t>
      </w:r>
      <w:r w:rsidR="00CB441B">
        <w:rPr>
          <w:rFonts w:ascii="Arial" w:hAnsi="Arial" w:cs="Arial"/>
          <w:sz w:val="20"/>
          <w:lang w:val="en-US"/>
        </w:rPr>
        <w:t>European Commission s</w:t>
      </w:r>
      <w:r w:rsidR="00A267EB" w:rsidRPr="00A267EB">
        <w:rPr>
          <w:rFonts w:ascii="Arial" w:hAnsi="Arial" w:cs="Arial"/>
          <w:sz w:val="20"/>
          <w:lang w:val="en-US"/>
        </w:rPr>
        <w:t>tandard contractual clauses for the transfer of</w:t>
      </w:r>
      <w:r w:rsidR="00A267EB">
        <w:rPr>
          <w:rFonts w:ascii="Arial" w:hAnsi="Arial" w:cs="Arial"/>
          <w:sz w:val="20"/>
          <w:lang w:val="en-US"/>
        </w:rPr>
        <w:t xml:space="preserve"> </w:t>
      </w:r>
      <w:r w:rsidR="00A267EB" w:rsidRPr="00A267EB">
        <w:rPr>
          <w:rFonts w:ascii="Arial" w:hAnsi="Arial" w:cs="Arial"/>
          <w:sz w:val="20"/>
          <w:lang w:val="en-US"/>
        </w:rPr>
        <w:t>personal data from the Community to third countries</w:t>
      </w:r>
      <w:r w:rsidR="00A267EB">
        <w:rPr>
          <w:rFonts w:ascii="Arial" w:hAnsi="Arial" w:cs="Arial"/>
          <w:sz w:val="20"/>
          <w:lang w:val="en-US"/>
        </w:rPr>
        <w:t xml:space="preserve"> </w:t>
      </w:r>
      <w:r w:rsidR="00A267EB" w:rsidRPr="00A267EB">
        <w:rPr>
          <w:rFonts w:ascii="Arial" w:hAnsi="Arial" w:cs="Arial"/>
          <w:sz w:val="20"/>
          <w:lang w:val="en-US"/>
        </w:rPr>
        <w:t>(controller to controller transfers)</w:t>
      </w:r>
      <w:r w:rsidR="00B60B6D">
        <w:rPr>
          <w:rFonts w:ascii="Arial" w:hAnsi="Arial" w:cs="Arial"/>
          <w:sz w:val="20"/>
          <w:lang w:val="en-US"/>
        </w:rPr>
        <w:t xml:space="preserve"> </w:t>
      </w:r>
      <w:r w:rsidR="00B60B6D" w:rsidRPr="00B60B6D">
        <w:rPr>
          <w:rFonts w:ascii="Arial" w:hAnsi="Arial" w:cs="Arial"/>
          <w:sz w:val="20"/>
          <w:lang w:val="en-US"/>
        </w:rPr>
        <w:t>(2004/915/EC)</w:t>
      </w:r>
      <w:r w:rsidR="00B60B6D">
        <w:rPr>
          <w:rFonts w:ascii="Arial" w:hAnsi="Arial" w:cs="Arial"/>
          <w:sz w:val="20"/>
          <w:lang w:val="en-US"/>
        </w:rPr>
        <w:t xml:space="preserve"> </w:t>
      </w:r>
      <w:r w:rsidR="00621305">
        <w:rPr>
          <w:rFonts w:ascii="Arial" w:hAnsi="Arial" w:cs="Arial"/>
          <w:sz w:val="20"/>
          <w:lang w:val="en-US"/>
        </w:rPr>
        <w:t>attached hereto as</w:t>
      </w:r>
      <w:r w:rsidR="005C58A9" w:rsidRPr="00A267EB">
        <w:rPr>
          <w:rFonts w:ascii="Arial" w:hAnsi="Arial" w:cs="Arial"/>
          <w:sz w:val="20"/>
          <w:lang w:val="en-US"/>
        </w:rPr>
        <w:t xml:space="preserve"> </w:t>
      </w:r>
      <w:r w:rsidR="00A267EB" w:rsidRPr="00A267EB">
        <w:rPr>
          <w:rFonts w:ascii="Arial" w:hAnsi="Arial" w:cs="Arial"/>
          <w:sz w:val="20"/>
          <w:lang w:val="en-US"/>
        </w:rPr>
        <w:t>Appendix</w:t>
      </w:r>
      <w:r w:rsidR="005C58A9" w:rsidRPr="00A267EB">
        <w:rPr>
          <w:rFonts w:ascii="Arial" w:hAnsi="Arial" w:cs="Arial"/>
          <w:sz w:val="20"/>
          <w:lang w:val="en-US"/>
        </w:rPr>
        <w:t xml:space="preserve"> 1,</w:t>
      </w:r>
      <w:r w:rsidR="00A267EB" w:rsidRPr="00A267EB">
        <w:rPr>
          <w:rFonts w:ascii="Arial" w:hAnsi="Arial" w:cs="Arial"/>
          <w:sz w:val="20"/>
          <w:lang w:val="en-US"/>
        </w:rPr>
        <w:t xml:space="preserve"> including the annexes attached thereto</w:t>
      </w:r>
      <w:r w:rsidR="00A267EB">
        <w:rPr>
          <w:rFonts w:ascii="Arial" w:hAnsi="Arial" w:cs="Arial"/>
          <w:sz w:val="20"/>
          <w:lang w:val="en-US"/>
        </w:rPr>
        <w:t>, and</w:t>
      </w:r>
      <w:r w:rsidR="00A267EB" w:rsidRPr="00A267EB">
        <w:rPr>
          <w:rFonts w:ascii="Arial" w:hAnsi="Arial" w:cs="Arial"/>
          <w:sz w:val="20"/>
          <w:lang w:val="en-US"/>
        </w:rPr>
        <w:t xml:space="preserve"> amended as indicated in square brackets, bold and italics</w:t>
      </w:r>
      <w:r w:rsidR="005C58A9" w:rsidRPr="00A267EB">
        <w:rPr>
          <w:rFonts w:ascii="Arial" w:hAnsi="Arial" w:cs="Arial"/>
          <w:sz w:val="20"/>
          <w:lang w:val="en-US"/>
        </w:rPr>
        <w:t>.</w:t>
      </w:r>
      <w:r w:rsidR="00982241">
        <w:rPr>
          <w:rFonts w:ascii="Arial" w:hAnsi="Arial" w:cs="Arial"/>
          <w:sz w:val="20"/>
          <w:lang w:val="en-US"/>
        </w:rPr>
        <w:t xml:space="preserve">  </w:t>
      </w:r>
    </w:p>
    <w:p w14:paraId="29EFE803" w14:textId="2C593EB7" w:rsidR="009B1C77" w:rsidRPr="00982241" w:rsidRDefault="009B1C77" w:rsidP="009B1C77">
      <w:pPr>
        <w:pStyle w:val="BodyText"/>
        <w:numPr>
          <w:ilvl w:val="1"/>
          <w:numId w:val="1"/>
        </w:numPr>
        <w:rPr>
          <w:rFonts w:ascii="Arial" w:hAnsi="Arial" w:cs="Arial"/>
          <w:sz w:val="20"/>
        </w:rPr>
      </w:pPr>
      <w:r>
        <w:rPr>
          <w:rFonts w:ascii="Arial" w:hAnsi="Arial" w:cs="Arial"/>
          <w:b/>
          <w:sz w:val="20"/>
          <w:lang w:val="en-US"/>
        </w:rPr>
        <w:t>“EEA”</w:t>
      </w:r>
      <w:r>
        <w:rPr>
          <w:rFonts w:ascii="Arial" w:hAnsi="Arial" w:cs="Arial"/>
          <w:sz w:val="20"/>
          <w:lang w:val="en-US"/>
        </w:rPr>
        <w:t xml:space="preserve"> means </w:t>
      </w:r>
      <w:r w:rsidRPr="009B1C77">
        <w:rPr>
          <w:rFonts w:ascii="Arial" w:hAnsi="Arial" w:cs="Arial"/>
          <w:sz w:val="20"/>
          <w:lang w:val="en-US"/>
        </w:rPr>
        <w:t>the European Economic Area.</w:t>
      </w:r>
      <w:r>
        <w:rPr>
          <w:rFonts w:ascii="Arial" w:hAnsi="Arial" w:cs="Arial"/>
          <w:sz w:val="20"/>
          <w:lang w:val="en-US"/>
        </w:rPr>
        <w:t xml:space="preserve">  </w:t>
      </w:r>
    </w:p>
    <w:p w14:paraId="76C7B53D" w14:textId="739F4AD5" w:rsidR="00982241" w:rsidRPr="005C58A9" w:rsidRDefault="00982241" w:rsidP="009B1C77">
      <w:pPr>
        <w:pStyle w:val="BodyText"/>
        <w:numPr>
          <w:ilvl w:val="1"/>
          <w:numId w:val="1"/>
        </w:numPr>
        <w:rPr>
          <w:rFonts w:ascii="Arial" w:hAnsi="Arial" w:cs="Arial"/>
          <w:sz w:val="20"/>
        </w:rPr>
      </w:pPr>
      <w:r>
        <w:rPr>
          <w:rFonts w:ascii="Arial" w:hAnsi="Arial" w:cs="Arial"/>
          <w:b/>
          <w:sz w:val="20"/>
          <w:lang w:val="en-US"/>
        </w:rPr>
        <w:t>“Personal Data”</w:t>
      </w:r>
      <w:r w:rsidRPr="00621305">
        <w:rPr>
          <w:rFonts w:ascii="Arial" w:hAnsi="Arial" w:cs="Arial"/>
          <w:sz w:val="20"/>
          <w:lang w:val="en-US"/>
        </w:rPr>
        <w:t xml:space="preserve">, </w:t>
      </w:r>
      <w:r>
        <w:rPr>
          <w:rFonts w:ascii="Arial" w:hAnsi="Arial" w:cs="Arial"/>
          <w:b/>
          <w:sz w:val="20"/>
          <w:lang w:val="en-US"/>
        </w:rPr>
        <w:t>“</w:t>
      </w:r>
      <w:r w:rsidR="00621305">
        <w:rPr>
          <w:rFonts w:ascii="Arial" w:hAnsi="Arial" w:cs="Arial"/>
          <w:b/>
          <w:sz w:val="20"/>
          <w:lang w:val="en-US"/>
        </w:rPr>
        <w:t>Process/</w:t>
      </w:r>
      <w:r>
        <w:rPr>
          <w:rFonts w:ascii="Arial" w:hAnsi="Arial" w:cs="Arial"/>
          <w:b/>
          <w:sz w:val="20"/>
          <w:lang w:val="en-US"/>
        </w:rPr>
        <w:t xml:space="preserve">Processing” </w:t>
      </w:r>
      <w:r w:rsidRPr="00982241">
        <w:rPr>
          <w:rFonts w:ascii="Arial" w:hAnsi="Arial" w:cs="Arial"/>
          <w:sz w:val="20"/>
          <w:lang w:val="en-US"/>
        </w:rPr>
        <w:t>and</w:t>
      </w:r>
      <w:r>
        <w:rPr>
          <w:rFonts w:ascii="Arial" w:hAnsi="Arial" w:cs="Arial"/>
          <w:b/>
          <w:sz w:val="20"/>
          <w:lang w:val="en-US"/>
        </w:rPr>
        <w:t xml:space="preserve"> “Controller” </w:t>
      </w:r>
      <w:r>
        <w:rPr>
          <w:rFonts w:ascii="Arial" w:hAnsi="Arial" w:cs="Arial"/>
          <w:sz w:val="20"/>
          <w:lang w:val="en-US"/>
        </w:rPr>
        <w:t xml:space="preserve">shall have the meanings set forth </w:t>
      </w:r>
      <w:r w:rsidR="00621305">
        <w:rPr>
          <w:rFonts w:ascii="Arial" w:hAnsi="Arial" w:cs="Arial"/>
          <w:sz w:val="20"/>
          <w:lang w:val="en-US"/>
        </w:rPr>
        <w:t xml:space="preserve">in the </w:t>
      </w:r>
      <w:r w:rsidR="00D370C6">
        <w:rPr>
          <w:rFonts w:ascii="Arial" w:hAnsi="Arial" w:cs="Arial"/>
          <w:sz w:val="20"/>
          <w:lang w:val="en-US"/>
        </w:rPr>
        <w:t>GDPR</w:t>
      </w:r>
      <w:r w:rsidR="00E4651F">
        <w:rPr>
          <w:rFonts w:ascii="Arial" w:hAnsi="Arial" w:cs="Arial"/>
          <w:sz w:val="20"/>
          <w:lang w:val="en-US"/>
        </w:rPr>
        <w:t xml:space="preserve"> (and as amended by any superseding legislation). </w:t>
      </w:r>
    </w:p>
    <w:p w14:paraId="768F5FA5" w14:textId="1DF0CC94" w:rsidR="005C58A9" w:rsidRPr="009B1C77" w:rsidRDefault="005C58A9" w:rsidP="003B2602">
      <w:pPr>
        <w:pStyle w:val="BodyText"/>
        <w:numPr>
          <w:ilvl w:val="1"/>
          <w:numId w:val="1"/>
        </w:numPr>
        <w:rPr>
          <w:rFonts w:ascii="Arial" w:hAnsi="Arial" w:cs="Arial"/>
          <w:sz w:val="20"/>
        </w:rPr>
      </w:pPr>
      <w:r>
        <w:rPr>
          <w:rFonts w:ascii="Arial" w:hAnsi="Arial" w:cs="Arial"/>
          <w:b/>
          <w:sz w:val="20"/>
          <w:lang w:val="en-US"/>
        </w:rPr>
        <w:t>“Third Country”</w:t>
      </w:r>
      <w:r>
        <w:rPr>
          <w:rFonts w:ascii="Arial" w:hAnsi="Arial" w:cs="Arial"/>
          <w:sz w:val="20"/>
          <w:lang w:val="en-US"/>
        </w:rPr>
        <w:t xml:space="preserve"> means a country outside the EEA. </w:t>
      </w:r>
    </w:p>
    <w:p w14:paraId="4614B45E" w14:textId="5F93521C" w:rsidR="00A629E6" w:rsidRPr="00A629E6" w:rsidRDefault="00B60B6D" w:rsidP="00A629E6">
      <w:pPr>
        <w:pStyle w:val="BodyText"/>
        <w:numPr>
          <w:ilvl w:val="0"/>
          <w:numId w:val="1"/>
        </w:numPr>
        <w:rPr>
          <w:rFonts w:ascii="Arial" w:hAnsi="Arial" w:cs="Arial"/>
          <w:sz w:val="20"/>
        </w:rPr>
      </w:pPr>
      <w:r>
        <w:rPr>
          <w:rFonts w:ascii="Arial" w:hAnsi="Arial" w:cs="Arial"/>
          <w:b/>
          <w:sz w:val="20"/>
          <w:lang w:val="en-US"/>
        </w:rPr>
        <w:t>Transfer of Personal Data</w:t>
      </w:r>
      <w:r w:rsidR="009B1C77">
        <w:rPr>
          <w:rFonts w:ascii="Arial" w:hAnsi="Arial" w:cs="Arial"/>
          <w:b/>
          <w:sz w:val="20"/>
          <w:lang w:val="en-US"/>
        </w:rPr>
        <w:t>.</w:t>
      </w:r>
      <w:r w:rsidR="009B1C77">
        <w:rPr>
          <w:rFonts w:ascii="Arial" w:hAnsi="Arial" w:cs="Arial"/>
          <w:sz w:val="20"/>
          <w:lang w:val="en-US"/>
        </w:rPr>
        <w:t xml:space="preserve">  </w:t>
      </w:r>
      <w:r w:rsidR="00982241">
        <w:rPr>
          <w:rFonts w:ascii="Arial" w:hAnsi="Arial"/>
          <w:sz w:val="20"/>
          <w:lang w:val="en-US"/>
        </w:rPr>
        <w:t>T</w:t>
      </w:r>
      <w:r w:rsidR="00982241">
        <w:rPr>
          <w:rFonts w:ascii="Arial" w:hAnsi="Arial"/>
          <w:sz w:val="20"/>
        </w:rPr>
        <w:t>he parties agree that the terms of th</w:t>
      </w:r>
      <w:r w:rsidR="00621305">
        <w:rPr>
          <w:rFonts w:ascii="Arial" w:hAnsi="Arial"/>
          <w:sz w:val="20"/>
          <w:lang w:val="en-US"/>
        </w:rPr>
        <w:t xml:space="preserve">is Data Processing Addendum </w:t>
      </w:r>
      <w:r w:rsidR="009B1C77">
        <w:rPr>
          <w:rFonts w:ascii="Arial" w:hAnsi="Arial" w:cs="Arial"/>
          <w:sz w:val="20"/>
          <w:lang w:val="en-US"/>
        </w:rPr>
        <w:t xml:space="preserve">shall apply to </w:t>
      </w:r>
      <w:r>
        <w:rPr>
          <w:rFonts w:ascii="Arial" w:hAnsi="Arial" w:cs="Arial"/>
          <w:sz w:val="20"/>
          <w:lang w:val="en-US"/>
        </w:rPr>
        <w:t>the transfer of Personal Data</w:t>
      </w:r>
      <w:r w:rsidR="003B2602">
        <w:rPr>
          <w:rFonts w:ascii="Arial" w:hAnsi="Arial" w:cs="Arial"/>
          <w:sz w:val="20"/>
          <w:lang w:val="en-US"/>
        </w:rPr>
        <w:t xml:space="preserve"> </w:t>
      </w:r>
      <w:r>
        <w:rPr>
          <w:rFonts w:ascii="Arial" w:hAnsi="Arial" w:cs="Arial"/>
          <w:sz w:val="20"/>
          <w:lang w:val="en-US"/>
        </w:rPr>
        <w:t xml:space="preserve">by any </w:t>
      </w:r>
      <w:r w:rsidR="009B1C77">
        <w:rPr>
          <w:rFonts w:ascii="Arial" w:hAnsi="Arial" w:cs="Arial"/>
          <w:sz w:val="20"/>
          <w:lang w:val="en-US"/>
        </w:rPr>
        <w:t>Distributer that</w:t>
      </w:r>
      <w:r w:rsidR="003B2602">
        <w:rPr>
          <w:rFonts w:ascii="Arial" w:hAnsi="Arial" w:cs="Arial"/>
          <w:sz w:val="20"/>
          <w:lang w:val="en-US"/>
        </w:rPr>
        <w:t xml:space="preserve"> is </w:t>
      </w:r>
      <w:r w:rsidR="00621305">
        <w:rPr>
          <w:rFonts w:ascii="Arial" w:hAnsi="Arial" w:cs="Arial"/>
          <w:sz w:val="20"/>
          <w:lang w:val="en-US"/>
        </w:rPr>
        <w:t xml:space="preserve">a Controller </w:t>
      </w:r>
      <w:r w:rsidR="003B2602">
        <w:rPr>
          <w:rFonts w:ascii="Arial" w:hAnsi="Arial" w:cs="Arial"/>
          <w:sz w:val="20"/>
          <w:lang w:val="en-US"/>
        </w:rPr>
        <w:t xml:space="preserve">incorporated or organized within the EEA </w:t>
      </w:r>
      <w:r w:rsidR="009B1C77">
        <w:rPr>
          <w:rFonts w:ascii="Arial" w:hAnsi="Arial" w:cs="Arial"/>
          <w:sz w:val="20"/>
          <w:lang w:val="en-US"/>
        </w:rPr>
        <w:t>to OTC Markets Group</w:t>
      </w:r>
      <w:r>
        <w:rPr>
          <w:rFonts w:ascii="Arial" w:hAnsi="Arial" w:cs="Arial"/>
          <w:sz w:val="20"/>
          <w:lang w:val="en-US"/>
        </w:rPr>
        <w:t xml:space="preserve">, receiving </w:t>
      </w:r>
      <w:r w:rsidR="00621305">
        <w:rPr>
          <w:rFonts w:ascii="Arial" w:hAnsi="Arial" w:cs="Arial"/>
          <w:sz w:val="20"/>
          <w:lang w:val="en-US"/>
        </w:rPr>
        <w:t xml:space="preserve">and processing </w:t>
      </w:r>
      <w:r>
        <w:rPr>
          <w:rFonts w:ascii="Arial" w:hAnsi="Arial" w:cs="Arial"/>
          <w:sz w:val="20"/>
          <w:lang w:val="en-US"/>
        </w:rPr>
        <w:t xml:space="preserve">such </w:t>
      </w:r>
      <w:r w:rsidR="00CB441B">
        <w:rPr>
          <w:rFonts w:ascii="Arial" w:hAnsi="Arial" w:cs="Arial"/>
          <w:sz w:val="20"/>
          <w:lang w:val="en-US"/>
        </w:rPr>
        <w:t xml:space="preserve">as Personal Data a Controller in a Third Country, pursuant to the Agreement and as set forth in Annex B to the Standard Contractual Clauses.  </w:t>
      </w:r>
      <w:r w:rsidR="00D370C6">
        <w:rPr>
          <w:rFonts w:ascii="Arial" w:hAnsi="Arial" w:cs="Arial"/>
          <w:sz w:val="20"/>
          <w:lang w:val="en-US"/>
        </w:rPr>
        <w:t xml:space="preserve">To the extent that this Data Processing Addendum applies to the transfer of Personal Data from Distributor to OTC Markets Group, Distributor shall be deemed a “data exporter” and OTC Markets Group shall be deemed a “data importer”, as defined in the Standard Contractual Clauses.  </w:t>
      </w:r>
    </w:p>
    <w:p w14:paraId="01D21EF3" w14:textId="26AF252F" w:rsidR="00E4651F" w:rsidRPr="00F51F0B" w:rsidRDefault="00E4651F" w:rsidP="00E4651F">
      <w:pPr>
        <w:pStyle w:val="BodyText"/>
        <w:numPr>
          <w:ilvl w:val="0"/>
          <w:numId w:val="1"/>
        </w:numPr>
        <w:rPr>
          <w:rFonts w:ascii="Arial" w:hAnsi="Arial" w:cs="Arial"/>
          <w:b/>
          <w:sz w:val="20"/>
        </w:rPr>
      </w:pPr>
      <w:r>
        <w:rPr>
          <w:rFonts w:ascii="Arial" w:hAnsi="Arial" w:cs="Arial"/>
          <w:b/>
          <w:sz w:val="20"/>
          <w:lang w:val="en-US"/>
        </w:rPr>
        <w:t>Data Processing Audit</w:t>
      </w:r>
      <w:r w:rsidRPr="00E4651F">
        <w:rPr>
          <w:rFonts w:ascii="Arial" w:hAnsi="Arial" w:cs="Arial"/>
          <w:sz w:val="20"/>
          <w:lang w:val="en-US"/>
        </w:rPr>
        <w:t>.  With respect to requests for audit</w:t>
      </w:r>
      <w:r>
        <w:rPr>
          <w:rFonts w:ascii="Arial" w:hAnsi="Arial" w:cs="Arial"/>
          <w:sz w:val="20"/>
          <w:lang w:val="en-US"/>
        </w:rPr>
        <w:t>ing</w:t>
      </w:r>
      <w:r w:rsidRPr="00E4651F">
        <w:rPr>
          <w:rFonts w:ascii="Arial" w:hAnsi="Arial" w:cs="Arial"/>
          <w:sz w:val="20"/>
          <w:lang w:val="en-US"/>
        </w:rPr>
        <w:t xml:space="preserve"> by Distributor pursuant to </w:t>
      </w:r>
      <w:r>
        <w:rPr>
          <w:rFonts w:ascii="Arial" w:hAnsi="Arial" w:cs="Arial"/>
          <w:sz w:val="20"/>
          <w:lang w:val="en-US"/>
        </w:rPr>
        <w:t>Section II</w:t>
      </w:r>
      <w:r w:rsidRPr="00E4651F">
        <w:rPr>
          <w:rFonts w:ascii="Arial" w:hAnsi="Arial" w:cs="Arial"/>
          <w:sz w:val="20"/>
          <w:lang w:val="en-US"/>
        </w:rPr>
        <w:t xml:space="preserve">(g) of the Standard Contractual Clauses, the parties agree that </w:t>
      </w:r>
      <w:r>
        <w:rPr>
          <w:rFonts w:ascii="Arial" w:hAnsi="Arial" w:cs="Arial"/>
          <w:sz w:val="20"/>
          <w:lang w:val="en-US"/>
        </w:rPr>
        <w:t>OTC Markets Group</w:t>
      </w:r>
      <w:r w:rsidRPr="00E4651F">
        <w:rPr>
          <w:rFonts w:ascii="Arial" w:hAnsi="Arial" w:cs="Arial"/>
          <w:sz w:val="20"/>
          <w:lang w:val="en-US"/>
        </w:rPr>
        <w:t xml:space="preserve"> may provide Distributor with </w:t>
      </w:r>
      <w:r w:rsidR="0084093A">
        <w:rPr>
          <w:rFonts w:ascii="Arial" w:hAnsi="Arial" w:cs="Arial"/>
          <w:sz w:val="20"/>
          <w:lang w:val="en-US"/>
        </w:rPr>
        <w:t xml:space="preserve">information concerning its </w:t>
      </w:r>
      <w:r>
        <w:rPr>
          <w:rFonts w:ascii="Arial" w:hAnsi="Arial" w:cs="Arial"/>
          <w:sz w:val="20"/>
          <w:lang w:val="en-US"/>
        </w:rPr>
        <w:t xml:space="preserve">policies </w:t>
      </w:r>
      <w:r w:rsidR="00CB441B">
        <w:rPr>
          <w:rFonts w:ascii="Arial" w:hAnsi="Arial" w:cs="Arial"/>
          <w:sz w:val="20"/>
          <w:lang w:val="en-US"/>
        </w:rPr>
        <w:t>and</w:t>
      </w:r>
      <w:r>
        <w:rPr>
          <w:rFonts w:ascii="Arial" w:hAnsi="Arial" w:cs="Arial"/>
          <w:sz w:val="20"/>
          <w:lang w:val="en-US"/>
        </w:rPr>
        <w:t xml:space="preserve"> procedures</w:t>
      </w:r>
      <w:r w:rsidRPr="00E4651F">
        <w:rPr>
          <w:rFonts w:ascii="Arial" w:hAnsi="Arial" w:cs="Arial"/>
          <w:sz w:val="20"/>
          <w:lang w:val="en-US"/>
        </w:rPr>
        <w:t xml:space="preserve"> </w:t>
      </w:r>
      <w:r>
        <w:rPr>
          <w:rFonts w:ascii="Arial" w:hAnsi="Arial" w:cs="Arial"/>
          <w:sz w:val="20"/>
          <w:lang w:val="en-US"/>
        </w:rPr>
        <w:t>relating</w:t>
      </w:r>
      <w:r w:rsidRPr="00E4651F">
        <w:rPr>
          <w:rFonts w:ascii="Arial" w:hAnsi="Arial" w:cs="Arial"/>
          <w:sz w:val="20"/>
          <w:lang w:val="en-US"/>
        </w:rPr>
        <w:t xml:space="preserve"> to the Personal Data processed </w:t>
      </w:r>
      <w:r>
        <w:rPr>
          <w:rFonts w:ascii="Arial" w:hAnsi="Arial" w:cs="Arial"/>
          <w:sz w:val="20"/>
          <w:lang w:val="en-US"/>
        </w:rPr>
        <w:t>pursuant to this Data Processing Addendum</w:t>
      </w:r>
      <w:r w:rsidRPr="00E4651F">
        <w:rPr>
          <w:rFonts w:ascii="Arial" w:hAnsi="Arial" w:cs="Arial"/>
          <w:sz w:val="20"/>
          <w:lang w:val="en-US"/>
        </w:rPr>
        <w:t xml:space="preserve"> and that such shall satisfy any request for an audi</w:t>
      </w:r>
      <w:r>
        <w:rPr>
          <w:rFonts w:ascii="Arial" w:hAnsi="Arial" w:cs="Arial"/>
          <w:sz w:val="20"/>
          <w:lang w:val="en-US"/>
        </w:rPr>
        <w:t>t</w:t>
      </w:r>
      <w:r w:rsidRPr="00E4651F">
        <w:rPr>
          <w:rFonts w:ascii="Arial" w:hAnsi="Arial" w:cs="Arial"/>
          <w:sz w:val="20"/>
          <w:lang w:val="en-US"/>
        </w:rPr>
        <w:t xml:space="preserve">. </w:t>
      </w:r>
      <w:r>
        <w:rPr>
          <w:rFonts w:ascii="Arial" w:hAnsi="Arial" w:cs="Arial"/>
          <w:sz w:val="20"/>
          <w:lang w:val="en-US"/>
        </w:rPr>
        <w:t xml:space="preserve"> </w:t>
      </w:r>
      <w:r w:rsidRPr="00E4651F">
        <w:rPr>
          <w:rFonts w:ascii="Arial" w:hAnsi="Arial" w:cs="Arial"/>
          <w:sz w:val="20"/>
          <w:lang w:val="en-US"/>
        </w:rPr>
        <w:t xml:space="preserve">Distributor is permitted to make one such </w:t>
      </w:r>
      <w:r>
        <w:rPr>
          <w:rFonts w:ascii="Arial" w:hAnsi="Arial" w:cs="Arial"/>
          <w:sz w:val="20"/>
          <w:lang w:val="en-US"/>
        </w:rPr>
        <w:t xml:space="preserve">audit </w:t>
      </w:r>
      <w:r w:rsidRPr="00E4651F">
        <w:rPr>
          <w:rFonts w:ascii="Arial" w:hAnsi="Arial" w:cs="Arial"/>
          <w:sz w:val="20"/>
          <w:lang w:val="en-US"/>
        </w:rPr>
        <w:t>request in any twelve-month period</w:t>
      </w:r>
      <w:r w:rsidR="00F51F0B">
        <w:rPr>
          <w:rFonts w:ascii="Arial" w:hAnsi="Arial" w:cs="Arial"/>
          <w:sz w:val="20"/>
          <w:lang w:val="en-US"/>
        </w:rPr>
        <w:t xml:space="preserve"> and shall provide OTC Markets Group with a minimum of 30 days notice to respond</w:t>
      </w:r>
      <w:r w:rsidRPr="00E4651F">
        <w:rPr>
          <w:rFonts w:ascii="Arial" w:hAnsi="Arial" w:cs="Arial"/>
          <w:sz w:val="20"/>
          <w:lang w:val="en-US"/>
        </w:rPr>
        <w:t xml:space="preserve">. </w:t>
      </w:r>
      <w:r>
        <w:rPr>
          <w:rFonts w:ascii="Arial" w:hAnsi="Arial" w:cs="Arial"/>
          <w:sz w:val="20"/>
          <w:lang w:val="en-US"/>
        </w:rPr>
        <w:t xml:space="preserve"> </w:t>
      </w:r>
      <w:r w:rsidRPr="00E4651F">
        <w:rPr>
          <w:rFonts w:ascii="Arial" w:hAnsi="Arial" w:cs="Arial"/>
          <w:sz w:val="20"/>
          <w:lang w:val="en-US"/>
        </w:rPr>
        <w:t xml:space="preserve">To the extent </w:t>
      </w:r>
      <w:r w:rsidR="0084093A">
        <w:rPr>
          <w:rFonts w:ascii="Arial" w:hAnsi="Arial" w:cs="Arial"/>
          <w:sz w:val="20"/>
          <w:lang w:val="en-US"/>
        </w:rPr>
        <w:t>that</w:t>
      </w:r>
      <w:r w:rsidRPr="00E4651F">
        <w:rPr>
          <w:rFonts w:ascii="Arial" w:hAnsi="Arial" w:cs="Arial"/>
          <w:sz w:val="20"/>
          <w:lang w:val="en-US"/>
        </w:rPr>
        <w:t xml:space="preserve"> Distributor makes additional requests for audits in the same twelve-month period, Distributor shall reimburse </w:t>
      </w:r>
      <w:r w:rsidR="00F51F0B">
        <w:rPr>
          <w:rFonts w:ascii="Arial" w:hAnsi="Arial" w:cs="Arial"/>
          <w:sz w:val="20"/>
          <w:lang w:val="en-US"/>
        </w:rPr>
        <w:t>OTC Markets Group</w:t>
      </w:r>
      <w:r w:rsidRPr="00E4651F">
        <w:rPr>
          <w:rFonts w:ascii="Arial" w:hAnsi="Arial" w:cs="Arial"/>
          <w:sz w:val="20"/>
          <w:lang w:val="en-US"/>
        </w:rPr>
        <w:t xml:space="preserve"> for any reasonable costs that are incurred in connection with such additional audits.</w:t>
      </w:r>
    </w:p>
    <w:p w14:paraId="351EE66E" w14:textId="51C03F77" w:rsidR="005C58A9" w:rsidRPr="005C58A9" w:rsidRDefault="00207340" w:rsidP="005C58A9">
      <w:pPr>
        <w:pStyle w:val="BodyText"/>
        <w:numPr>
          <w:ilvl w:val="0"/>
          <w:numId w:val="1"/>
        </w:numPr>
        <w:rPr>
          <w:rFonts w:ascii="Arial" w:hAnsi="Arial" w:cs="Arial"/>
          <w:b/>
          <w:sz w:val="20"/>
        </w:rPr>
      </w:pPr>
      <w:r>
        <w:rPr>
          <w:rFonts w:ascii="Arial" w:hAnsi="Arial" w:cs="Arial"/>
          <w:b/>
          <w:sz w:val="20"/>
          <w:lang w:val="en-US"/>
        </w:rPr>
        <w:t>Miscellaneous</w:t>
      </w:r>
      <w:r w:rsidR="005C58A9" w:rsidRPr="005C58A9">
        <w:rPr>
          <w:rFonts w:ascii="Arial" w:hAnsi="Arial" w:cs="Arial"/>
          <w:b/>
          <w:sz w:val="20"/>
          <w:lang w:val="en-US"/>
        </w:rPr>
        <w:t>.</w:t>
      </w:r>
      <w:r>
        <w:rPr>
          <w:rFonts w:ascii="Arial" w:hAnsi="Arial" w:cs="Arial"/>
          <w:b/>
          <w:sz w:val="20"/>
          <w:lang w:val="en-US"/>
        </w:rPr>
        <w:t xml:space="preserve">  </w:t>
      </w:r>
      <w:r>
        <w:rPr>
          <w:rFonts w:ascii="Arial" w:hAnsi="Arial" w:cs="Arial"/>
          <w:sz w:val="20"/>
          <w:lang w:val="en-US"/>
        </w:rPr>
        <w:t xml:space="preserve">This Data Processing Addendum </w:t>
      </w:r>
      <w:r w:rsidRPr="00207340">
        <w:rPr>
          <w:rFonts w:ascii="Arial" w:hAnsi="Arial" w:cs="Arial"/>
          <w:sz w:val="20"/>
          <w:lang w:val="en-US"/>
        </w:rPr>
        <w:t>modifies and amends the Agreement with respect to the subject matter hereof and is hereby made a part of the Agreement.</w:t>
      </w:r>
      <w:r>
        <w:rPr>
          <w:rFonts w:ascii="Arial" w:hAnsi="Arial" w:cs="Arial"/>
          <w:sz w:val="20"/>
          <w:lang w:val="en-US"/>
        </w:rPr>
        <w:t xml:space="preserve"> </w:t>
      </w:r>
      <w:r w:rsidRPr="00207340">
        <w:rPr>
          <w:rFonts w:ascii="Arial" w:hAnsi="Arial" w:cs="Arial"/>
          <w:sz w:val="20"/>
          <w:lang w:val="en-US"/>
        </w:rPr>
        <w:t xml:space="preserve"> Except to the extent this </w:t>
      </w:r>
      <w:r>
        <w:rPr>
          <w:rFonts w:ascii="Arial" w:hAnsi="Arial" w:cs="Arial"/>
          <w:sz w:val="20"/>
          <w:lang w:val="en-US"/>
        </w:rPr>
        <w:t xml:space="preserve">Data </w:t>
      </w:r>
      <w:r>
        <w:rPr>
          <w:rFonts w:ascii="Arial" w:hAnsi="Arial" w:cs="Arial"/>
          <w:sz w:val="20"/>
          <w:lang w:val="en-US"/>
        </w:rPr>
        <w:lastRenderedPageBreak/>
        <w:t xml:space="preserve">Processing </w:t>
      </w:r>
      <w:r w:rsidRPr="00207340">
        <w:rPr>
          <w:rFonts w:ascii="Arial" w:hAnsi="Arial" w:cs="Arial"/>
          <w:sz w:val="20"/>
          <w:lang w:val="en-US"/>
        </w:rPr>
        <w:t xml:space="preserve">Addendum expressly and specifically modifies and amends the terms and conditions of the Agreement, the terms and the conditions of the Agreement remain applicable in their entirety, and this </w:t>
      </w:r>
      <w:r>
        <w:rPr>
          <w:rFonts w:ascii="Arial" w:hAnsi="Arial" w:cs="Arial"/>
          <w:sz w:val="20"/>
          <w:lang w:val="en-US"/>
        </w:rPr>
        <w:t xml:space="preserve">Data Processing </w:t>
      </w:r>
      <w:r w:rsidRPr="00207340">
        <w:rPr>
          <w:rFonts w:ascii="Arial" w:hAnsi="Arial" w:cs="Arial"/>
          <w:sz w:val="20"/>
          <w:lang w:val="en-US"/>
        </w:rPr>
        <w:t xml:space="preserve">Addendum shall not otherwise limit or reduce Distributor’s duties, obligations, or responsibilities under the Agreement.  In the event of any claim of conflict between the terms and conditions of this </w:t>
      </w:r>
      <w:r>
        <w:rPr>
          <w:rFonts w:ascii="Arial" w:hAnsi="Arial" w:cs="Arial"/>
          <w:sz w:val="20"/>
          <w:lang w:val="en-US"/>
        </w:rPr>
        <w:t xml:space="preserve">Data Processing </w:t>
      </w:r>
      <w:r w:rsidRPr="00207340">
        <w:rPr>
          <w:rFonts w:ascii="Arial" w:hAnsi="Arial" w:cs="Arial"/>
          <w:sz w:val="20"/>
          <w:lang w:val="en-US"/>
        </w:rPr>
        <w:t>Addendum and the terms and conditions of any other part of the Agreement, the interpretation given to such terms and conditions in the Distribution Agreement shall control the meaning thereof.</w:t>
      </w:r>
    </w:p>
    <w:p w14:paraId="2DED3900" w14:textId="798D407A" w:rsidR="00F610F4" w:rsidRDefault="00F610F4" w:rsidP="00F610F4">
      <w:pPr>
        <w:spacing w:line="254" w:lineRule="exact"/>
        <w:ind w:left="4" w:right="76" w:firstLine="716"/>
        <w:jc w:val="both"/>
        <w:rPr>
          <w:rFonts w:ascii="Arial" w:hAnsi="Arial"/>
          <w:sz w:val="20"/>
        </w:rPr>
      </w:pPr>
      <w:r>
        <w:rPr>
          <w:rFonts w:ascii="Arial" w:hAnsi="Arial"/>
          <w:sz w:val="20"/>
        </w:rPr>
        <w:t xml:space="preserve">IN WITNESS WHEREOF, the parties hereto have caused this </w:t>
      </w:r>
      <w:r w:rsidR="00A629E6">
        <w:rPr>
          <w:rFonts w:ascii="Arial" w:hAnsi="Arial"/>
          <w:sz w:val="20"/>
        </w:rPr>
        <w:t xml:space="preserve">Data Processing </w:t>
      </w:r>
      <w:r>
        <w:rPr>
          <w:rFonts w:ascii="Arial" w:hAnsi="Arial"/>
          <w:sz w:val="20"/>
        </w:rPr>
        <w:t>Addendum to be executed by their duly authorized officers.</w:t>
      </w:r>
    </w:p>
    <w:p w14:paraId="00B08A6C" w14:textId="77777777" w:rsidR="00F610F4" w:rsidRDefault="00F610F4" w:rsidP="00F610F4">
      <w:pPr>
        <w:jc w:val="both"/>
        <w:rPr>
          <w:rFonts w:ascii="Arial" w:hAnsi="Arial"/>
          <w:sz w:val="20"/>
        </w:rPr>
      </w:pPr>
    </w:p>
    <w:p w14:paraId="0FBB0769" w14:textId="77777777" w:rsidR="00F610F4" w:rsidRDefault="00F610F4" w:rsidP="00F610F4">
      <w:pPr>
        <w:jc w:val="both"/>
        <w:rPr>
          <w:rFonts w:ascii="Arial" w:hAnsi="Arial"/>
          <w:sz w:val="20"/>
        </w:rPr>
      </w:pPr>
    </w:p>
    <w:p w14:paraId="15180723" w14:textId="77777777" w:rsidR="00F610F4" w:rsidRDefault="00F610F4" w:rsidP="00F610F4">
      <w:pPr>
        <w:pStyle w:val="Heading3"/>
        <w:ind w:left="4320" w:firstLine="720"/>
        <w:jc w:val="both"/>
        <w:rPr>
          <w:rFonts w:ascii="Arial" w:eastAsia="Times" w:hAnsi="Arial"/>
          <w:b/>
          <w:i w:val="0"/>
          <w:sz w:val="20"/>
        </w:rPr>
      </w:pPr>
      <w:r>
        <w:rPr>
          <w:rFonts w:ascii="Arial" w:eastAsia="Times" w:hAnsi="Arial"/>
          <w:b/>
          <w:i w:val="0"/>
          <w:sz w:val="20"/>
        </w:rPr>
        <w:t>OTC Markets Group Inc.</w:t>
      </w:r>
    </w:p>
    <w:p w14:paraId="55D68D56" w14:textId="77777777" w:rsidR="00F610F4" w:rsidRDefault="00F610F4" w:rsidP="00F610F4">
      <w:pPr>
        <w:ind w:left="4320" w:firstLine="720"/>
        <w:jc w:val="both"/>
        <w:rPr>
          <w:rFonts w:ascii="Arial" w:eastAsia="Times" w:hAnsi="Arial"/>
          <w:b/>
          <w:sz w:val="20"/>
        </w:rPr>
      </w:pPr>
    </w:p>
    <w:p w14:paraId="22F9069B" w14:textId="77777777" w:rsidR="00F610F4" w:rsidRDefault="00F610F4" w:rsidP="00F610F4">
      <w:pPr>
        <w:ind w:left="4320" w:firstLine="720"/>
        <w:jc w:val="both"/>
        <w:rPr>
          <w:rFonts w:ascii="Arial" w:hAnsi="Arial"/>
          <w:b/>
          <w:sz w:val="20"/>
        </w:rPr>
      </w:pPr>
    </w:p>
    <w:p w14:paraId="467F28BF" w14:textId="77777777" w:rsidR="00F610F4" w:rsidRDefault="00F610F4" w:rsidP="00F610F4">
      <w:pPr>
        <w:ind w:left="4320" w:firstLine="720"/>
        <w:jc w:val="both"/>
        <w:rPr>
          <w:rFonts w:ascii="Arial" w:hAnsi="Arial"/>
          <w:sz w:val="20"/>
        </w:rPr>
      </w:pPr>
      <w:r>
        <w:rPr>
          <w:rFonts w:ascii="Arial" w:hAnsi="Arial"/>
          <w:sz w:val="20"/>
        </w:rPr>
        <w:t xml:space="preserve">By: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74B0952" w14:textId="77777777" w:rsidR="00F610F4" w:rsidRDefault="00F610F4" w:rsidP="00F610F4">
      <w:pPr>
        <w:ind w:left="4320" w:firstLine="720"/>
        <w:jc w:val="both"/>
        <w:rPr>
          <w:rFonts w:ascii="Arial" w:hAnsi="Arial"/>
          <w:sz w:val="20"/>
        </w:rPr>
      </w:pPr>
      <w:r>
        <w:rPr>
          <w:rFonts w:ascii="Arial" w:hAnsi="Arial"/>
          <w:sz w:val="20"/>
        </w:rPr>
        <w:t>Name:  Matthew Fuchs</w:t>
      </w:r>
    </w:p>
    <w:p w14:paraId="34B151C7" w14:textId="77777777" w:rsidR="00F610F4" w:rsidRDefault="00F610F4" w:rsidP="00F610F4">
      <w:pPr>
        <w:ind w:left="4320" w:firstLine="720"/>
        <w:jc w:val="both"/>
        <w:rPr>
          <w:rFonts w:ascii="Arial" w:hAnsi="Arial"/>
          <w:sz w:val="20"/>
        </w:rPr>
      </w:pPr>
      <w:r>
        <w:rPr>
          <w:rFonts w:ascii="Arial" w:hAnsi="Arial"/>
          <w:sz w:val="20"/>
        </w:rPr>
        <w:t>Title:</w:t>
      </w:r>
      <w:r>
        <w:rPr>
          <w:rFonts w:ascii="Arial" w:hAnsi="Arial"/>
          <w:sz w:val="20"/>
        </w:rPr>
        <w:tab/>
        <w:t>Executive Vice President</w:t>
      </w:r>
    </w:p>
    <w:p w14:paraId="119B019C" w14:textId="77777777" w:rsidR="00F610F4" w:rsidRDefault="00F610F4" w:rsidP="00F610F4">
      <w:pPr>
        <w:ind w:left="4320" w:firstLine="720"/>
        <w:jc w:val="both"/>
        <w:rPr>
          <w:rFonts w:ascii="Arial" w:hAnsi="Arial"/>
          <w:sz w:val="20"/>
        </w:rPr>
      </w:pPr>
    </w:p>
    <w:p w14:paraId="029967A3" w14:textId="77777777" w:rsidR="00F610F4" w:rsidRDefault="00F610F4" w:rsidP="00F610F4">
      <w:pPr>
        <w:ind w:left="4320" w:firstLine="720"/>
        <w:jc w:val="both"/>
        <w:rPr>
          <w:rFonts w:ascii="Arial" w:hAnsi="Arial"/>
          <w:sz w:val="20"/>
        </w:rPr>
      </w:pPr>
    </w:p>
    <w:p w14:paraId="522980E6" w14:textId="77777777" w:rsidR="00F610F4" w:rsidRDefault="00F610F4" w:rsidP="00F610F4">
      <w:pPr>
        <w:ind w:left="4320" w:firstLine="720"/>
        <w:jc w:val="both"/>
        <w:rPr>
          <w:rFonts w:ascii="Arial" w:hAnsi="Arial"/>
          <w:sz w:val="20"/>
        </w:rPr>
      </w:pPr>
    </w:p>
    <w:p w14:paraId="1D42E99A" w14:textId="77777777" w:rsidR="00F610F4" w:rsidRDefault="00F610F4" w:rsidP="00F610F4">
      <w:pPr>
        <w:ind w:left="4320" w:firstLine="720"/>
        <w:jc w:val="both"/>
        <w:rPr>
          <w:rFonts w:ascii="Arial" w:hAnsi="Arial"/>
          <w:sz w:val="20"/>
        </w:rPr>
      </w:pPr>
      <w:r>
        <w:rPr>
          <w:rFonts w:ascii="Arial" w:hAnsi="Arial"/>
          <w:b/>
          <w:sz w:val="20"/>
        </w:rPr>
        <w:t xml:space="preserve">Distributor: </w:t>
      </w:r>
      <w:r>
        <w:rPr>
          <w:rFonts w:ascii="Arial" w:hAnsi="Arial"/>
          <w:sz w:val="20"/>
        </w:rPr>
        <w:fldChar w:fldCharType="begin">
          <w:ffData>
            <w:name w:val="Text1"/>
            <w:enabled/>
            <w:calcOnExit w:val="0"/>
            <w:textInput/>
          </w:ffData>
        </w:fldChar>
      </w:r>
      <w:bookmarkStart w:id="0" w:name="Text1"/>
      <w:r>
        <w:rPr>
          <w:rFonts w:ascii="Arial" w:hAnsi="Arial"/>
          <w:sz w:val="20"/>
        </w:rPr>
        <w:instrText xml:space="preserve"> FORMTEXT </w:instrText>
      </w:r>
      <w:r>
        <w:rPr>
          <w:rFonts w:ascii="Arial" w:hAnsi="Arial"/>
          <w:sz w:val="20"/>
        </w:rPr>
      </w:r>
      <w:r>
        <w:rPr>
          <w:rFonts w:ascii="Arial" w:hAnsi="Arial"/>
          <w:sz w:val="20"/>
        </w:rPr>
        <w:fldChar w:fldCharType="separate"/>
      </w:r>
      <w:bookmarkStart w:id="1" w:name="_GoBack"/>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bookmarkEnd w:id="1"/>
      <w:r>
        <w:rPr>
          <w:rFonts w:ascii="Times" w:hAnsi="Times"/>
        </w:rPr>
        <w:fldChar w:fldCharType="end"/>
      </w:r>
      <w:bookmarkEnd w:id="0"/>
    </w:p>
    <w:p w14:paraId="2B086E98" w14:textId="77777777" w:rsidR="00F610F4" w:rsidRDefault="00F610F4" w:rsidP="00F610F4">
      <w:pPr>
        <w:ind w:left="4320" w:firstLine="720"/>
        <w:jc w:val="both"/>
        <w:rPr>
          <w:rFonts w:ascii="Arial" w:hAnsi="Arial"/>
          <w:sz w:val="20"/>
        </w:rPr>
      </w:pPr>
    </w:p>
    <w:p w14:paraId="7D879927" w14:textId="77777777" w:rsidR="00F610F4" w:rsidRDefault="00F610F4" w:rsidP="00F610F4">
      <w:pPr>
        <w:ind w:left="4320" w:firstLine="720"/>
        <w:jc w:val="both"/>
        <w:rPr>
          <w:rFonts w:ascii="Arial" w:hAnsi="Arial"/>
          <w:sz w:val="20"/>
        </w:rPr>
      </w:pPr>
    </w:p>
    <w:p w14:paraId="560B6880" w14:textId="77777777" w:rsidR="00F610F4" w:rsidRDefault="00F610F4" w:rsidP="00F610F4">
      <w:pPr>
        <w:ind w:left="4320" w:firstLine="720"/>
        <w:jc w:val="both"/>
        <w:rPr>
          <w:rFonts w:ascii="Arial" w:hAnsi="Arial"/>
          <w:sz w:val="20"/>
        </w:rPr>
      </w:pPr>
      <w:r>
        <w:rPr>
          <w:rFonts w:ascii="Arial" w:hAnsi="Arial"/>
          <w:sz w:val="20"/>
        </w:rPr>
        <w:t xml:space="preserve">By: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EB4CFBE" w14:textId="77777777" w:rsidR="00F610F4" w:rsidRDefault="00F610F4" w:rsidP="00F610F4">
      <w:pPr>
        <w:ind w:left="4320" w:firstLine="720"/>
        <w:jc w:val="both"/>
        <w:rPr>
          <w:rFonts w:ascii="Arial" w:hAnsi="Arial"/>
          <w:sz w:val="20"/>
        </w:rPr>
      </w:pPr>
      <w:r>
        <w:rPr>
          <w:rFonts w:ascii="Arial" w:hAnsi="Arial"/>
          <w:sz w:val="20"/>
        </w:rPr>
        <w:t>Name:</w:t>
      </w:r>
      <w:r>
        <w:rPr>
          <w:rFonts w:ascii="Arial" w:hAnsi="Arial"/>
          <w:sz w:val="20"/>
        </w:rPr>
        <w:fldChar w:fldCharType="begin">
          <w:ffData>
            <w:name w:val="Text2"/>
            <w:enabled/>
            <w:calcOnExit w:val="0"/>
            <w:textInput/>
          </w:ffData>
        </w:fldChar>
      </w:r>
      <w:bookmarkStart w:id="2" w:name="Text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Times" w:hAnsi="Times"/>
        </w:rPr>
        <w:fldChar w:fldCharType="end"/>
      </w:r>
      <w:bookmarkEnd w:id="2"/>
    </w:p>
    <w:p w14:paraId="49926C50" w14:textId="77777777" w:rsidR="00F610F4" w:rsidRDefault="00F610F4" w:rsidP="00F610F4">
      <w:pPr>
        <w:ind w:left="4320" w:firstLine="720"/>
        <w:jc w:val="both"/>
        <w:rPr>
          <w:rFonts w:ascii="Arial" w:hAnsi="Arial"/>
          <w:sz w:val="20"/>
        </w:rPr>
      </w:pPr>
      <w:r>
        <w:rPr>
          <w:rFonts w:ascii="Arial" w:hAnsi="Arial"/>
          <w:sz w:val="20"/>
        </w:rPr>
        <w:t>Title:</w:t>
      </w:r>
      <w:r>
        <w:rPr>
          <w:rFonts w:ascii="Arial" w:hAnsi="Arial"/>
          <w:sz w:val="20"/>
        </w:rPr>
        <w:fldChar w:fldCharType="begin">
          <w:ffData>
            <w:name w:val="Text3"/>
            <w:enabled/>
            <w:calcOnExit w:val="0"/>
            <w:textInput/>
          </w:ffData>
        </w:fldChar>
      </w:r>
      <w:bookmarkStart w:id="3" w:name="Text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Times" w:hAnsi="Times"/>
        </w:rPr>
        <w:fldChar w:fldCharType="end"/>
      </w:r>
      <w:bookmarkEnd w:id="3"/>
    </w:p>
    <w:p w14:paraId="11520D0F" w14:textId="77777777" w:rsidR="00F610F4" w:rsidRDefault="00F610F4" w:rsidP="00F610F4">
      <w:pPr>
        <w:jc w:val="both"/>
        <w:rPr>
          <w:rFonts w:ascii="Arial" w:hAnsi="Arial"/>
          <w:sz w:val="20"/>
        </w:rPr>
      </w:pPr>
    </w:p>
    <w:p w14:paraId="13CBC3AE" w14:textId="77777777" w:rsidR="00F610F4" w:rsidRDefault="00F610F4" w:rsidP="00F610F4">
      <w:pPr>
        <w:jc w:val="both"/>
        <w:rPr>
          <w:rFonts w:ascii="Arial" w:hAnsi="Arial"/>
          <w:b/>
          <w:sz w:val="20"/>
        </w:rPr>
      </w:pPr>
    </w:p>
    <w:p w14:paraId="0B1EABC7" w14:textId="77777777" w:rsidR="00F610F4" w:rsidRDefault="00F610F4" w:rsidP="00F610F4">
      <w:pPr>
        <w:jc w:val="both"/>
        <w:rPr>
          <w:rFonts w:ascii="Arial" w:hAnsi="Arial"/>
          <w:b/>
          <w:sz w:val="20"/>
        </w:rPr>
      </w:pPr>
    </w:p>
    <w:p w14:paraId="5E8826AB" w14:textId="3C6780C7" w:rsidR="009A417B" w:rsidRDefault="00F610F4" w:rsidP="00F610F4">
      <w:pPr>
        <w:jc w:val="both"/>
        <w:rPr>
          <w:rFonts w:ascii="Times" w:hAnsi="Times"/>
        </w:rPr>
      </w:pPr>
      <w:r>
        <w:rPr>
          <w:rFonts w:ascii="Arial" w:hAnsi="Arial"/>
          <w:b/>
          <w:sz w:val="20"/>
        </w:rPr>
        <w:t xml:space="preserve">Date of Execution by OTC Markets Group Inc.: </w:t>
      </w:r>
      <w:r>
        <w:rPr>
          <w:rFonts w:ascii="Arial" w:hAnsi="Arial"/>
          <w:sz w:val="20"/>
        </w:rPr>
        <w:fldChar w:fldCharType="begin">
          <w:ffData>
            <w:name w:val="Text4"/>
            <w:enabled/>
            <w:calcOnExit w:val="0"/>
            <w:textInput/>
          </w:ffData>
        </w:fldChar>
      </w:r>
      <w:bookmarkStart w:id="4" w:name="Text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Times" w:hAnsi="Times"/>
        </w:rPr>
        <w:fldChar w:fldCharType="end"/>
      </w:r>
      <w:bookmarkEnd w:id="4"/>
    </w:p>
    <w:p w14:paraId="69C42B88" w14:textId="77777777" w:rsidR="009A417B" w:rsidRDefault="009A417B">
      <w:pPr>
        <w:spacing w:after="160" w:line="259" w:lineRule="auto"/>
        <w:rPr>
          <w:rFonts w:ascii="Times" w:hAnsi="Times"/>
        </w:rPr>
      </w:pPr>
      <w:r>
        <w:rPr>
          <w:rFonts w:ascii="Times" w:hAnsi="Times"/>
        </w:rPr>
        <w:br w:type="page"/>
      </w:r>
    </w:p>
    <w:p w14:paraId="57B07119" w14:textId="77777777" w:rsidR="00943DE0" w:rsidRDefault="009A417B" w:rsidP="009A417B">
      <w:pPr>
        <w:pStyle w:val="Title"/>
      </w:pPr>
      <w:r>
        <w:lastRenderedPageBreak/>
        <w:t>APPENDIX I TO THE DATA PROCESSING ADDENDUM</w:t>
      </w:r>
      <w:r w:rsidR="00BE27AA">
        <w:t>:</w:t>
      </w:r>
    </w:p>
    <w:p w14:paraId="2F498BBE" w14:textId="77777777" w:rsidR="00E4651F" w:rsidRDefault="00E4651F" w:rsidP="009A417B">
      <w:pPr>
        <w:pStyle w:val="Title"/>
      </w:pPr>
      <w:r>
        <w:t>STANDARD CONTRACTUAL CLAUSES FOR THE TRANSFER OF PERSONAL DATA</w:t>
      </w:r>
    </w:p>
    <w:p w14:paraId="72054A10" w14:textId="5D30AC29" w:rsidR="00E4651F" w:rsidRDefault="00E4651F" w:rsidP="009A417B">
      <w:pPr>
        <w:pStyle w:val="Title"/>
      </w:pPr>
      <w:r>
        <w:t>FROM THE COMMUNITY TO THIRD COUNTRIES (CONTROLLER TO CONTROLLER TRANSFERS)</w:t>
      </w:r>
    </w:p>
    <w:p w14:paraId="672CC27E" w14:textId="77777777" w:rsidR="00943DE0" w:rsidRPr="009A417B" w:rsidRDefault="00943DE0" w:rsidP="00F610F4">
      <w:pPr>
        <w:jc w:val="both"/>
        <w:rPr>
          <w:rFonts w:ascii="Arial" w:hAnsi="Arial"/>
          <w:sz w:val="20"/>
        </w:rPr>
      </w:pPr>
    </w:p>
    <w:p w14:paraId="0E2BA88F" w14:textId="77777777" w:rsidR="00726CC3" w:rsidRPr="00943DE0" w:rsidRDefault="009A417B" w:rsidP="00F610F4">
      <w:pPr>
        <w:jc w:val="both"/>
        <w:rPr>
          <w:rFonts w:ascii="Arial" w:hAnsi="Arial"/>
          <w:b/>
          <w:sz w:val="20"/>
        </w:rPr>
      </w:pPr>
      <w:r w:rsidRPr="00943DE0">
        <w:rPr>
          <w:rFonts w:ascii="Arial" w:hAnsi="Arial"/>
          <w:b/>
          <w:sz w:val="20"/>
        </w:rPr>
        <w:t xml:space="preserve">Definitions </w:t>
      </w:r>
    </w:p>
    <w:p w14:paraId="3B1CA7BE" w14:textId="77777777" w:rsidR="00726CC3" w:rsidRDefault="00726CC3" w:rsidP="00F610F4">
      <w:pPr>
        <w:jc w:val="both"/>
        <w:rPr>
          <w:rFonts w:ascii="Arial" w:hAnsi="Arial"/>
          <w:sz w:val="20"/>
        </w:rPr>
      </w:pPr>
    </w:p>
    <w:p w14:paraId="6261EAC2" w14:textId="77777777" w:rsidR="00726CC3" w:rsidRDefault="009A417B" w:rsidP="00F610F4">
      <w:pPr>
        <w:jc w:val="both"/>
        <w:rPr>
          <w:rFonts w:ascii="Arial" w:hAnsi="Arial"/>
          <w:sz w:val="20"/>
        </w:rPr>
      </w:pPr>
      <w:r w:rsidRPr="009A417B">
        <w:rPr>
          <w:rFonts w:ascii="Arial" w:hAnsi="Arial"/>
          <w:sz w:val="20"/>
        </w:rPr>
        <w:t xml:space="preserve">For the purposes of the </w:t>
      </w:r>
      <w:r w:rsidR="00726CC3">
        <w:rPr>
          <w:rFonts w:ascii="Arial" w:hAnsi="Arial"/>
          <w:sz w:val="20"/>
        </w:rPr>
        <w:t>C</w:t>
      </w:r>
      <w:r w:rsidRPr="009A417B">
        <w:rPr>
          <w:rFonts w:ascii="Arial" w:hAnsi="Arial"/>
          <w:sz w:val="20"/>
        </w:rPr>
        <w:t>lauses</w:t>
      </w:r>
      <w:r w:rsidR="00726CC3">
        <w:rPr>
          <w:rFonts w:ascii="Arial" w:hAnsi="Arial"/>
          <w:sz w:val="20"/>
        </w:rPr>
        <w:t xml:space="preserve">: </w:t>
      </w:r>
    </w:p>
    <w:p w14:paraId="25EC608E" w14:textId="77777777" w:rsidR="00726CC3" w:rsidRDefault="00726CC3" w:rsidP="00726CC3">
      <w:pPr>
        <w:jc w:val="both"/>
        <w:rPr>
          <w:rFonts w:ascii="Arial" w:hAnsi="Arial"/>
          <w:sz w:val="20"/>
        </w:rPr>
      </w:pPr>
    </w:p>
    <w:p w14:paraId="18F8433A" w14:textId="77777777" w:rsidR="00726CC3" w:rsidRDefault="009A417B" w:rsidP="00726CC3">
      <w:pPr>
        <w:pStyle w:val="ListParagraph"/>
        <w:numPr>
          <w:ilvl w:val="0"/>
          <w:numId w:val="4"/>
        </w:numPr>
        <w:jc w:val="both"/>
        <w:rPr>
          <w:rFonts w:ascii="Arial" w:hAnsi="Arial"/>
          <w:sz w:val="20"/>
        </w:rPr>
      </w:pPr>
      <w:r w:rsidRPr="00726CC3">
        <w:rPr>
          <w:rFonts w:ascii="Arial" w:hAnsi="Arial"/>
          <w:sz w:val="20"/>
        </w:rPr>
        <w:t>“personal data”, “special categories of data/sensitive data”, “process/processing”, “controller”, “processor”, “data subject” and “supervisory authority/authority” shall have the same meaning as in Directive 95/46/EC of 24 October 1995 (whereby “the authority” shall mean the competent data protection authority in the territory in which the data exporter is established);</w:t>
      </w:r>
    </w:p>
    <w:p w14:paraId="198E4794" w14:textId="77777777" w:rsidR="00726CC3" w:rsidRDefault="00726CC3" w:rsidP="00726CC3">
      <w:pPr>
        <w:pStyle w:val="ListParagraph"/>
        <w:jc w:val="both"/>
        <w:rPr>
          <w:rFonts w:ascii="Arial" w:hAnsi="Arial"/>
          <w:sz w:val="20"/>
        </w:rPr>
      </w:pPr>
    </w:p>
    <w:p w14:paraId="075D5040" w14:textId="5F4FF59C" w:rsidR="00726CC3" w:rsidRDefault="009A417B" w:rsidP="00726CC3">
      <w:pPr>
        <w:pStyle w:val="ListParagraph"/>
        <w:numPr>
          <w:ilvl w:val="0"/>
          <w:numId w:val="4"/>
        </w:numPr>
        <w:jc w:val="both"/>
        <w:rPr>
          <w:rFonts w:ascii="Arial" w:hAnsi="Arial"/>
          <w:sz w:val="20"/>
        </w:rPr>
      </w:pPr>
      <w:r w:rsidRPr="00726CC3">
        <w:rPr>
          <w:rFonts w:ascii="Arial" w:hAnsi="Arial"/>
          <w:sz w:val="20"/>
        </w:rPr>
        <w:t>“the data exporter” shall mean the controller who transfers the personal data;</w:t>
      </w:r>
    </w:p>
    <w:p w14:paraId="2093C096" w14:textId="77777777" w:rsidR="00726CC3" w:rsidRDefault="00726CC3" w:rsidP="00726CC3">
      <w:pPr>
        <w:pStyle w:val="ListParagraph"/>
        <w:jc w:val="both"/>
        <w:rPr>
          <w:rFonts w:ascii="Arial" w:hAnsi="Arial"/>
          <w:sz w:val="20"/>
        </w:rPr>
      </w:pPr>
    </w:p>
    <w:p w14:paraId="309E1D57" w14:textId="77777777" w:rsidR="00726CC3" w:rsidRDefault="009A417B" w:rsidP="00726CC3">
      <w:pPr>
        <w:pStyle w:val="ListParagraph"/>
        <w:numPr>
          <w:ilvl w:val="0"/>
          <w:numId w:val="4"/>
        </w:numPr>
        <w:jc w:val="both"/>
        <w:rPr>
          <w:rFonts w:ascii="Arial" w:hAnsi="Arial"/>
          <w:sz w:val="20"/>
        </w:rPr>
      </w:pPr>
      <w:r w:rsidRPr="00726CC3">
        <w:rPr>
          <w:rFonts w:ascii="Arial" w:hAnsi="Arial"/>
          <w:sz w:val="20"/>
        </w:rPr>
        <w:t>“the data importer” shall mean the controller who agrees to receive from the data exporter personal data for further processing in accordance with the terms of these clauses and who is not subject to a third country’s system ensuring adequate protection;</w:t>
      </w:r>
    </w:p>
    <w:p w14:paraId="3CD86B05" w14:textId="77777777" w:rsidR="00726CC3" w:rsidRPr="00726CC3" w:rsidRDefault="00726CC3" w:rsidP="00726CC3">
      <w:pPr>
        <w:pStyle w:val="ListParagraph"/>
        <w:rPr>
          <w:rFonts w:ascii="Arial" w:hAnsi="Arial"/>
          <w:sz w:val="20"/>
        </w:rPr>
      </w:pPr>
    </w:p>
    <w:p w14:paraId="5607C418" w14:textId="77777777" w:rsidR="00943DE0" w:rsidRDefault="009A417B" w:rsidP="00726CC3">
      <w:pPr>
        <w:pStyle w:val="ListParagraph"/>
        <w:numPr>
          <w:ilvl w:val="0"/>
          <w:numId w:val="4"/>
        </w:numPr>
        <w:jc w:val="both"/>
        <w:rPr>
          <w:rFonts w:ascii="Arial" w:hAnsi="Arial"/>
          <w:sz w:val="20"/>
        </w:rPr>
      </w:pPr>
      <w:r w:rsidRPr="00726CC3">
        <w:rPr>
          <w:rFonts w:ascii="Arial" w:hAnsi="Arial"/>
          <w:sz w:val="20"/>
        </w:rPr>
        <w:t>“clauses” shall mean these contractual clauses, which are a free-standing document that does not incorporate commercial business terms established by the parties under separate commercial arrangements</w:t>
      </w:r>
      <w:r w:rsidR="00943DE0">
        <w:rPr>
          <w:rFonts w:ascii="Arial" w:hAnsi="Arial"/>
          <w:sz w:val="20"/>
        </w:rPr>
        <w:t>.</w:t>
      </w:r>
    </w:p>
    <w:p w14:paraId="02FAA596" w14:textId="77777777" w:rsidR="00943DE0" w:rsidRPr="00943DE0" w:rsidRDefault="00943DE0" w:rsidP="00943DE0">
      <w:pPr>
        <w:pStyle w:val="ListParagraph"/>
        <w:rPr>
          <w:rFonts w:ascii="Arial" w:hAnsi="Arial"/>
          <w:sz w:val="20"/>
        </w:rPr>
      </w:pPr>
    </w:p>
    <w:p w14:paraId="2E96F1B9" w14:textId="68DB4485" w:rsidR="009A417B" w:rsidRDefault="009A417B" w:rsidP="00943DE0">
      <w:pPr>
        <w:jc w:val="both"/>
        <w:rPr>
          <w:rFonts w:ascii="Arial" w:hAnsi="Arial"/>
          <w:sz w:val="20"/>
        </w:rPr>
      </w:pPr>
      <w:r w:rsidRPr="00943DE0">
        <w:rPr>
          <w:rFonts w:ascii="Arial" w:hAnsi="Arial"/>
          <w:sz w:val="20"/>
        </w:rPr>
        <w:t>The details of the transfer (as well as the personal data covered) are specified in Annex B, which forms an integral part of the clauses.</w:t>
      </w:r>
    </w:p>
    <w:p w14:paraId="68F149DC" w14:textId="77777777" w:rsidR="00943DE0" w:rsidRDefault="00943DE0" w:rsidP="00943DE0">
      <w:pPr>
        <w:jc w:val="both"/>
        <w:rPr>
          <w:rFonts w:ascii="Arial" w:hAnsi="Arial"/>
          <w:sz w:val="20"/>
        </w:rPr>
      </w:pPr>
    </w:p>
    <w:p w14:paraId="7400566D" w14:textId="0D0EDCEA" w:rsidR="00943DE0" w:rsidRPr="00943DE0" w:rsidRDefault="00943DE0" w:rsidP="00943DE0">
      <w:pPr>
        <w:pStyle w:val="ListParagraph"/>
        <w:numPr>
          <w:ilvl w:val="0"/>
          <w:numId w:val="6"/>
        </w:numPr>
        <w:ind w:left="360" w:hanging="360"/>
        <w:jc w:val="both"/>
        <w:rPr>
          <w:rFonts w:ascii="Arial" w:hAnsi="Arial"/>
          <w:b/>
          <w:sz w:val="20"/>
        </w:rPr>
      </w:pPr>
      <w:r w:rsidRPr="00943DE0">
        <w:rPr>
          <w:rFonts w:ascii="Arial" w:hAnsi="Arial"/>
          <w:b/>
          <w:sz w:val="20"/>
        </w:rPr>
        <w:t>Obligations of the data exporter</w:t>
      </w:r>
    </w:p>
    <w:p w14:paraId="4C009154" w14:textId="77777777" w:rsidR="00943DE0" w:rsidRPr="00943DE0" w:rsidRDefault="00943DE0" w:rsidP="00943DE0">
      <w:pPr>
        <w:jc w:val="both"/>
        <w:rPr>
          <w:rFonts w:ascii="Arial" w:hAnsi="Arial"/>
          <w:sz w:val="20"/>
        </w:rPr>
      </w:pPr>
    </w:p>
    <w:p w14:paraId="4CD41590" w14:textId="77777777" w:rsidR="00943DE0" w:rsidRPr="00943DE0" w:rsidRDefault="00943DE0" w:rsidP="00943DE0">
      <w:pPr>
        <w:jc w:val="both"/>
        <w:rPr>
          <w:rFonts w:ascii="Arial" w:hAnsi="Arial"/>
          <w:sz w:val="20"/>
        </w:rPr>
      </w:pPr>
      <w:r w:rsidRPr="00943DE0">
        <w:rPr>
          <w:rFonts w:ascii="Arial" w:hAnsi="Arial"/>
          <w:sz w:val="20"/>
        </w:rPr>
        <w:t>The data exporter warrants and undertakes that:</w:t>
      </w:r>
    </w:p>
    <w:p w14:paraId="7F4C0B2D" w14:textId="77777777" w:rsidR="00943DE0" w:rsidRPr="00943DE0" w:rsidRDefault="00943DE0" w:rsidP="00943DE0">
      <w:pPr>
        <w:jc w:val="both"/>
        <w:rPr>
          <w:rFonts w:ascii="Arial" w:hAnsi="Arial"/>
          <w:sz w:val="20"/>
        </w:rPr>
      </w:pPr>
    </w:p>
    <w:p w14:paraId="6528423C" w14:textId="5D22725C" w:rsidR="00943DE0" w:rsidRDefault="00943DE0" w:rsidP="00943DE0">
      <w:pPr>
        <w:pStyle w:val="ListParagraph"/>
        <w:numPr>
          <w:ilvl w:val="0"/>
          <w:numId w:val="7"/>
        </w:numPr>
        <w:jc w:val="both"/>
        <w:rPr>
          <w:rFonts w:ascii="Arial" w:hAnsi="Arial"/>
          <w:sz w:val="20"/>
        </w:rPr>
      </w:pPr>
      <w:r w:rsidRPr="00943DE0">
        <w:rPr>
          <w:rFonts w:ascii="Arial" w:hAnsi="Arial"/>
          <w:sz w:val="20"/>
        </w:rPr>
        <w:t>The personal data have been collected, processed and transferred in accordance with the laws applicable to the data exporter.</w:t>
      </w:r>
    </w:p>
    <w:p w14:paraId="0C8C68FF" w14:textId="77777777" w:rsidR="00943DE0" w:rsidRDefault="00943DE0" w:rsidP="00943DE0">
      <w:pPr>
        <w:pStyle w:val="ListParagraph"/>
        <w:jc w:val="both"/>
        <w:rPr>
          <w:rFonts w:ascii="Arial" w:hAnsi="Arial"/>
          <w:sz w:val="20"/>
        </w:rPr>
      </w:pPr>
    </w:p>
    <w:p w14:paraId="2DB15590" w14:textId="77777777" w:rsidR="00943DE0" w:rsidRDefault="00943DE0" w:rsidP="00943DE0">
      <w:pPr>
        <w:pStyle w:val="ListParagraph"/>
        <w:numPr>
          <w:ilvl w:val="0"/>
          <w:numId w:val="7"/>
        </w:numPr>
        <w:jc w:val="both"/>
        <w:rPr>
          <w:rFonts w:ascii="Arial" w:hAnsi="Arial"/>
          <w:sz w:val="20"/>
        </w:rPr>
      </w:pPr>
      <w:r w:rsidRPr="00943DE0">
        <w:rPr>
          <w:rFonts w:ascii="Arial" w:hAnsi="Arial"/>
          <w:sz w:val="20"/>
        </w:rPr>
        <w:t>It has used reasonable efforts to determine that the data importer is able to satisfy its legal obligations under these clauses.</w:t>
      </w:r>
    </w:p>
    <w:p w14:paraId="072C2F29" w14:textId="77777777" w:rsidR="00943DE0" w:rsidRPr="00943DE0" w:rsidRDefault="00943DE0" w:rsidP="00943DE0">
      <w:pPr>
        <w:pStyle w:val="ListParagraph"/>
        <w:rPr>
          <w:rFonts w:ascii="Arial" w:hAnsi="Arial"/>
          <w:sz w:val="20"/>
        </w:rPr>
      </w:pPr>
    </w:p>
    <w:p w14:paraId="23F679BB" w14:textId="77777777" w:rsidR="00943DE0" w:rsidRDefault="00943DE0" w:rsidP="00943DE0">
      <w:pPr>
        <w:pStyle w:val="ListParagraph"/>
        <w:numPr>
          <w:ilvl w:val="0"/>
          <w:numId w:val="7"/>
        </w:numPr>
        <w:jc w:val="both"/>
        <w:rPr>
          <w:rFonts w:ascii="Arial" w:hAnsi="Arial"/>
          <w:sz w:val="20"/>
        </w:rPr>
      </w:pPr>
      <w:r w:rsidRPr="00943DE0">
        <w:rPr>
          <w:rFonts w:ascii="Arial" w:hAnsi="Arial"/>
          <w:sz w:val="20"/>
        </w:rPr>
        <w:t>It will provide the data importer, when so requested, with copies of relevant data protection laws or references to them (where relevant, and not including legal advice) of the country in which the data exporter is established.</w:t>
      </w:r>
    </w:p>
    <w:p w14:paraId="41A8C7CF" w14:textId="77777777" w:rsidR="00943DE0" w:rsidRPr="00943DE0" w:rsidRDefault="00943DE0" w:rsidP="00943DE0">
      <w:pPr>
        <w:pStyle w:val="ListParagraph"/>
        <w:rPr>
          <w:rFonts w:ascii="Arial" w:hAnsi="Arial"/>
          <w:sz w:val="20"/>
        </w:rPr>
      </w:pPr>
    </w:p>
    <w:p w14:paraId="44886F41" w14:textId="77777777" w:rsidR="00943DE0" w:rsidRDefault="00943DE0" w:rsidP="00943DE0">
      <w:pPr>
        <w:pStyle w:val="ListParagraph"/>
        <w:numPr>
          <w:ilvl w:val="0"/>
          <w:numId w:val="7"/>
        </w:numPr>
        <w:jc w:val="both"/>
        <w:rPr>
          <w:rFonts w:ascii="Arial" w:hAnsi="Arial"/>
          <w:sz w:val="20"/>
        </w:rPr>
      </w:pPr>
      <w:r w:rsidRPr="00943DE0">
        <w:rPr>
          <w:rFonts w:ascii="Arial" w:hAnsi="Arial"/>
          <w:sz w:val="20"/>
        </w:rPr>
        <w:t>It will respond to enquiries from data subjects and the authority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14:paraId="4120E668" w14:textId="77777777" w:rsidR="00943DE0" w:rsidRPr="00943DE0" w:rsidRDefault="00943DE0" w:rsidP="00943DE0">
      <w:pPr>
        <w:pStyle w:val="ListParagraph"/>
        <w:rPr>
          <w:rFonts w:ascii="Arial" w:hAnsi="Arial"/>
          <w:sz w:val="20"/>
        </w:rPr>
      </w:pPr>
    </w:p>
    <w:p w14:paraId="54B1C230" w14:textId="0E6BA53D" w:rsidR="00943DE0" w:rsidRDefault="00943DE0" w:rsidP="00943DE0">
      <w:pPr>
        <w:pStyle w:val="ListParagraph"/>
        <w:numPr>
          <w:ilvl w:val="0"/>
          <w:numId w:val="7"/>
        </w:numPr>
        <w:jc w:val="both"/>
        <w:rPr>
          <w:rFonts w:ascii="Arial" w:hAnsi="Arial"/>
          <w:sz w:val="20"/>
        </w:rPr>
      </w:pPr>
      <w:r w:rsidRPr="00943DE0">
        <w:rPr>
          <w:rFonts w:ascii="Arial" w:hAnsi="Arial"/>
          <w:sz w:val="20"/>
        </w:rPr>
        <w:t xml:space="preserve">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authority. However, the data exporter shall abide by a decision of the authority regarding access to the full text of the clauses by data subjects, </w:t>
      </w:r>
      <w:proofErr w:type="gramStart"/>
      <w:r w:rsidRPr="00943DE0">
        <w:rPr>
          <w:rFonts w:ascii="Arial" w:hAnsi="Arial"/>
          <w:sz w:val="20"/>
        </w:rPr>
        <w:t>as long as</w:t>
      </w:r>
      <w:proofErr w:type="gramEnd"/>
      <w:r w:rsidRPr="00943DE0">
        <w:rPr>
          <w:rFonts w:ascii="Arial" w:hAnsi="Arial"/>
          <w:sz w:val="20"/>
        </w:rPr>
        <w:t xml:space="preserve"> data subjects have agreed to respect the confidentiality of the confidential information removed. The data exporter shall also provide a copy of the clauses to the authority where required.</w:t>
      </w:r>
    </w:p>
    <w:p w14:paraId="144B9E4C" w14:textId="77777777" w:rsidR="00943DE0" w:rsidRPr="00943DE0" w:rsidRDefault="00943DE0" w:rsidP="00943DE0">
      <w:pPr>
        <w:pStyle w:val="ListParagraph"/>
        <w:rPr>
          <w:rFonts w:ascii="Arial" w:hAnsi="Arial"/>
          <w:sz w:val="20"/>
        </w:rPr>
      </w:pPr>
    </w:p>
    <w:p w14:paraId="43BFC17B" w14:textId="77777777" w:rsidR="00823112" w:rsidRDefault="00823112" w:rsidP="00823112">
      <w:pPr>
        <w:pStyle w:val="ListParagraph"/>
        <w:ind w:left="360"/>
        <w:jc w:val="both"/>
        <w:rPr>
          <w:rFonts w:ascii="Arial" w:hAnsi="Arial"/>
          <w:b/>
          <w:sz w:val="20"/>
        </w:rPr>
      </w:pPr>
    </w:p>
    <w:p w14:paraId="52AEBB13" w14:textId="3D4CBB71" w:rsidR="00943DE0" w:rsidRPr="00943DE0" w:rsidRDefault="00943DE0" w:rsidP="00943DE0">
      <w:pPr>
        <w:pStyle w:val="ListParagraph"/>
        <w:numPr>
          <w:ilvl w:val="0"/>
          <w:numId w:val="6"/>
        </w:numPr>
        <w:ind w:left="360" w:hanging="360"/>
        <w:jc w:val="both"/>
        <w:rPr>
          <w:rFonts w:ascii="Arial" w:hAnsi="Arial"/>
          <w:b/>
          <w:sz w:val="20"/>
        </w:rPr>
      </w:pPr>
      <w:r w:rsidRPr="00943DE0">
        <w:rPr>
          <w:rFonts w:ascii="Arial" w:hAnsi="Arial"/>
          <w:b/>
          <w:sz w:val="20"/>
        </w:rPr>
        <w:lastRenderedPageBreak/>
        <w:t>Obligations of the data importer</w:t>
      </w:r>
    </w:p>
    <w:p w14:paraId="73A7E7F1" w14:textId="30A10F57" w:rsidR="00943DE0" w:rsidRDefault="00943DE0" w:rsidP="00943DE0">
      <w:pPr>
        <w:jc w:val="both"/>
        <w:rPr>
          <w:rFonts w:ascii="Arial" w:hAnsi="Arial"/>
          <w:sz w:val="20"/>
        </w:rPr>
      </w:pPr>
    </w:p>
    <w:p w14:paraId="4C5E19EB" w14:textId="77777777" w:rsidR="00943DE0" w:rsidRPr="00943DE0" w:rsidRDefault="00943DE0" w:rsidP="00943DE0">
      <w:pPr>
        <w:jc w:val="both"/>
        <w:rPr>
          <w:rFonts w:ascii="Arial" w:hAnsi="Arial"/>
          <w:sz w:val="20"/>
        </w:rPr>
      </w:pPr>
      <w:r w:rsidRPr="00943DE0">
        <w:rPr>
          <w:rFonts w:ascii="Arial" w:hAnsi="Arial"/>
          <w:sz w:val="20"/>
        </w:rPr>
        <w:t>The data importer warrants and undertakes that:</w:t>
      </w:r>
    </w:p>
    <w:p w14:paraId="79B3F1E5" w14:textId="77777777" w:rsidR="00943DE0" w:rsidRDefault="00943DE0" w:rsidP="00943DE0">
      <w:pPr>
        <w:pStyle w:val="ListParagraph"/>
        <w:jc w:val="both"/>
        <w:rPr>
          <w:rFonts w:ascii="Arial" w:hAnsi="Arial"/>
          <w:sz w:val="20"/>
        </w:rPr>
      </w:pPr>
    </w:p>
    <w:p w14:paraId="7BDFB2C3" w14:textId="2FB76D39" w:rsidR="00943DE0" w:rsidRPr="00943DE0" w:rsidRDefault="00943DE0" w:rsidP="00943DE0">
      <w:pPr>
        <w:pStyle w:val="ListParagraph"/>
        <w:numPr>
          <w:ilvl w:val="0"/>
          <w:numId w:val="8"/>
        </w:numPr>
        <w:jc w:val="both"/>
        <w:rPr>
          <w:rFonts w:ascii="Arial" w:hAnsi="Arial"/>
          <w:sz w:val="20"/>
        </w:rPr>
      </w:pPr>
      <w:r w:rsidRPr="00943DE0">
        <w:rPr>
          <w:rFonts w:ascii="Arial" w:hAnsi="Arial"/>
          <w:sz w:val="20"/>
        </w:rP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14:paraId="10D0128B" w14:textId="77777777" w:rsidR="00E552A3" w:rsidRDefault="00E552A3" w:rsidP="00E552A3">
      <w:pPr>
        <w:pStyle w:val="ListParagraph"/>
        <w:jc w:val="both"/>
        <w:rPr>
          <w:rFonts w:ascii="Arial" w:hAnsi="Arial"/>
          <w:sz w:val="20"/>
        </w:rPr>
      </w:pPr>
    </w:p>
    <w:p w14:paraId="713068CC" w14:textId="19642B9A" w:rsidR="00943DE0" w:rsidRDefault="00943DE0" w:rsidP="00943DE0">
      <w:pPr>
        <w:pStyle w:val="ListParagraph"/>
        <w:numPr>
          <w:ilvl w:val="0"/>
          <w:numId w:val="8"/>
        </w:numPr>
        <w:jc w:val="both"/>
        <w:rPr>
          <w:rFonts w:ascii="Arial" w:hAnsi="Arial"/>
          <w:sz w:val="20"/>
        </w:rPr>
      </w:pPr>
      <w:r w:rsidRPr="00943DE0">
        <w:rPr>
          <w:rFonts w:ascii="Arial" w:hAnsi="Arial"/>
          <w:sz w:val="20"/>
        </w:rP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14:paraId="3E83F4FC" w14:textId="77777777" w:rsidR="00E552A3" w:rsidRPr="00E552A3" w:rsidRDefault="00E552A3" w:rsidP="00E552A3">
      <w:pPr>
        <w:pStyle w:val="ListParagraph"/>
        <w:rPr>
          <w:rFonts w:ascii="Arial" w:hAnsi="Arial"/>
          <w:sz w:val="20"/>
        </w:rPr>
      </w:pPr>
    </w:p>
    <w:p w14:paraId="7409F284" w14:textId="77777777" w:rsidR="00943DE0" w:rsidRPr="00E552A3" w:rsidRDefault="00943DE0" w:rsidP="00E552A3">
      <w:pPr>
        <w:pStyle w:val="ListParagraph"/>
        <w:numPr>
          <w:ilvl w:val="0"/>
          <w:numId w:val="8"/>
        </w:numPr>
        <w:jc w:val="both"/>
        <w:rPr>
          <w:rFonts w:ascii="Arial" w:hAnsi="Arial"/>
          <w:sz w:val="20"/>
        </w:rPr>
      </w:pPr>
      <w:r w:rsidRPr="00E552A3">
        <w:rPr>
          <w:rFonts w:ascii="Arial" w:hAnsi="Arial"/>
          <w:sz w:val="20"/>
        </w:rP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authority where required) if it becomes aware of any such laws.</w:t>
      </w:r>
    </w:p>
    <w:p w14:paraId="2D087560" w14:textId="77777777" w:rsidR="00E552A3" w:rsidRDefault="00E552A3" w:rsidP="00E552A3">
      <w:pPr>
        <w:pStyle w:val="ListParagraph"/>
        <w:jc w:val="both"/>
        <w:rPr>
          <w:rFonts w:ascii="Arial" w:hAnsi="Arial"/>
          <w:sz w:val="20"/>
        </w:rPr>
      </w:pPr>
    </w:p>
    <w:p w14:paraId="640F0F81" w14:textId="31127B14" w:rsidR="00943DE0" w:rsidRPr="00E552A3" w:rsidRDefault="00943DE0" w:rsidP="00E552A3">
      <w:pPr>
        <w:pStyle w:val="ListParagraph"/>
        <w:numPr>
          <w:ilvl w:val="0"/>
          <w:numId w:val="8"/>
        </w:numPr>
        <w:jc w:val="both"/>
        <w:rPr>
          <w:rFonts w:ascii="Arial" w:hAnsi="Arial"/>
          <w:sz w:val="20"/>
        </w:rPr>
      </w:pPr>
      <w:r w:rsidRPr="00E552A3">
        <w:rPr>
          <w:rFonts w:ascii="Arial" w:hAnsi="Arial"/>
          <w:sz w:val="20"/>
        </w:rPr>
        <w:t xml:space="preserve">It will process the personal data for purposes described in Annex </w:t>
      </w:r>
      <w:proofErr w:type="gramStart"/>
      <w:r w:rsidRPr="00E552A3">
        <w:rPr>
          <w:rFonts w:ascii="Arial" w:hAnsi="Arial"/>
          <w:sz w:val="20"/>
        </w:rPr>
        <w:t>B, and</w:t>
      </w:r>
      <w:proofErr w:type="gramEnd"/>
      <w:r w:rsidRPr="00E552A3">
        <w:rPr>
          <w:rFonts w:ascii="Arial" w:hAnsi="Arial"/>
          <w:sz w:val="20"/>
        </w:rPr>
        <w:t xml:space="preserve"> has the legal authority to give the warranties and fulfil the undertakings set out in these clauses.</w:t>
      </w:r>
    </w:p>
    <w:p w14:paraId="30D2B4F6" w14:textId="77777777" w:rsidR="00943DE0" w:rsidRPr="00943DE0" w:rsidRDefault="00943DE0" w:rsidP="00E552A3">
      <w:pPr>
        <w:pStyle w:val="ListParagraph"/>
        <w:jc w:val="both"/>
        <w:rPr>
          <w:rFonts w:ascii="Arial" w:hAnsi="Arial"/>
          <w:sz w:val="20"/>
        </w:rPr>
      </w:pPr>
    </w:p>
    <w:p w14:paraId="5F97883A" w14:textId="77777777" w:rsidR="00943DE0" w:rsidRPr="00943DE0" w:rsidRDefault="00943DE0" w:rsidP="00943DE0">
      <w:pPr>
        <w:pStyle w:val="ListParagraph"/>
        <w:numPr>
          <w:ilvl w:val="0"/>
          <w:numId w:val="8"/>
        </w:numPr>
        <w:jc w:val="both"/>
        <w:rPr>
          <w:rFonts w:ascii="Arial" w:hAnsi="Arial"/>
          <w:sz w:val="20"/>
        </w:rPr>
      </w:pPr>
      <w:r w:rsidRPr="00943DE0">
        <w:rPr>
          <w:rFonts w:ascii="Arial" w:hAnsi="Arial"/>
          <w:sz w:val="20"/>
        </w:rPr>
        <w:t>It will identify to the data exporter a contact point within its organisation authorised to respond to enquiries concerning processing of the personal data, and will cooperate in good faith with the data exporter, the data subject and the authority concerning all such enquiries within a reasonable time. In case of legal dissolution of the data exporter, or if the parties have so agreed, the data importer will assume responsibility for compliance with the provisions of clause I(e).</w:t>
      </w:r>
    </w:p>
    <w:p w14:paraId="5351F47B" w14:textId="77777777" w:rsidR="00943DE0" w:rsidRPr="00E552A3" w:rsidRDefault="00943DE0" w:rsidP="00E552A3">
      <w:pPr>
        <w:jc w:val="both"/>
        <w:rPr>
          <w:rFonts w:ascii="Arial" w:hAnsi="Arial"/>
          <w:sz w:val="20"/>
        </w:rPr>
      </w:pPr>
    </w:p>
    <w:p w14:paraId="63DA9668" w14:textId="1BAC8AC4" w:rsidR="00943DE0" w:rsidRPr="00E552A3" w:rsidRDefault="00943DE0" w:rsidP="00E552A3">
      <w:pPr>
        <w:pStyle w:val="ListParagraph"/>
        <w:numPr>
          <w:ilvl w:val="0"/>
          <w:numId w:val="8"/>
        </w:numPr>
        <w:jc w:val="both"/>
        <w:rPr>
          <w:rFonts w:ascii="Arial" w:hAnsi="Arial"/>
          <w:sz w:val="20"/>
        </w:rPr>
      </w:pPr>
      <w:r w:rsidRPr="00E552A3">
        <w:rPr>
          <w:rFonts w:ascii="Arial" w:hAnsi="Arial"/>
          <w:sz w:val="20"/>
        </w:rPr>
        <w:t>At the request of the data exporter, it will provide the data exporter with evidence of financial resources sufficient to fulfil its responsibilities under clause III (which may include insurance coverage).</w:t>
      </w:r>
    </w:p>
    <w:p w14:paraId="53C908AB" w14:textId="77777777" w:rsidR="00943DE0" w:rsidRPr="00E552A3" w:rsidRDefault="00943DE0" w:rsidP="00E552A3">
      <w:pPr>
        <w:jc w:val="both"/>
        <w:rPr>
          <w:rFonts w:ascii="Arial" w:hAnsi="Arial"/>
          <w:sz w:val="20"/>
        </w:rPr>
      </w:pPr>
    </w:p>
    <w:p w14:paraId="676830E7" w14:textId="747649C2" w:rsidR="00943DE0" w:rsidRDefault="00943DE0" w:rsidP="00E552A3">
      <w:pPr>
        <w:pStyle w:val="ListParagraph"/>
        <w:numPr>
          <w:ilvl w:val="0"/>
          <w:numId w:val="8"/>
        </w:numPr>
        <w:jc w:val="both"/>
        <w:rPr>
          <w:rFonts w:ascii="Arial" w:hAnsi="Arial"/>
          <w:sz w:val="20"/>
        </w:rPr>
      </w:pPr>
      <w:r w:rsidRPr="00E552A3">
        <w:rPr>
          <w:rFonts w:ascii="Arial" w:hAnsi="Arial"/>
          <w:sz w:val="20"/>
        </w:rPr>
        <w:t>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w:t>
      </w:r>
    </w:p>
    <w:p w14:paraId="74E27451" w14:textId="77777777" w:rsidR="00E552A3" w:rsidRPr="00E552A3" w:rsidRDefault="00E552A3" w:rsidP="00E552A3">
      <w:pPr>
        <w:pStyle w:val="ListParagraph"/>
        <w:rPr>
          <w:rFonts w:ascii="Arial" w:hAnsi="Arial"/>
          <w:sz w:val="20"/>
        </w:rPr>
      </w:pPr>
    </w:p>
    <w:p w14:paraId="3B51442E" w14:textId="6B7BE0B5" w:rsidR="00E552A3" w:rsidRDefault="00943DE0" w:rsidP="00E552A3">
      <w:pPr>
        <w:pStyle w:val="ListParagraph"/>
        <w:numPr>
          <w:ilvl w:val="0"/>
          <w:numId w:val="8"/>
        </w:numPr>
        <w:jc w:val="both"/>
        <w:rPr>
          <w:rFonts w:ascii="Arial" w:hAnsi="Arial"/>
          <w:sz w:val="20"/>
        </w:rPr>
      </w:pPr>
      <w:r w:rsidRPr="00E552A3">
        <w:rPr>
          <w:rFonts w:ascii="Arial" w:hAnsi="Arial"/>
          <w:sz w:val="20"/>
        </w:rPr>
        <w:t>It will process the personal data, at its option, in accordance with:</w:t>
      </w:r>
    </w:p>
    <w:p w14:paraId="65C54E8A" w14:textId="77777777" w:rsidR="00E552A3" w:rsidRPr="00E552A3" w:rsidRDefault="00E552A3" w:rsidP="00E552A3">
      <w:pPr>
        <w:pStyle w:val="ListParagraph"/>
        <w:rPr>
          <w:rFonts w:ascii="Arial" w:hAnsi="Arial"/>
          <w:sz w:val="20"/>
        </w:rPr>
      </w:pPr>
    </w:p>
    <w:p w14:paraId="0C0DA03A" w14:textId="24552883" w:rsidR="00E552A3" w:rsidRDefault="00E552A3" w:rsidP="00E552A3">
      <w:pPr>
        <w:pStyle w:val="ListParagraph"/>
        <w:numPr>
          <w:ilvl w:val="1"/>
          <w:numId w:val="1"/>
        </w:numPr>
        <w:ind w:left="720" w:firstLine="0"/>
        <w:jc w:val="both"/>
        <w:rPr>
          <w:rFonts w:ascii="Arial" w:hAnsi="Arial"/>
          <w:sz w:val="20"/>
        </w:rPr>
      </w:pPr>
      <w:r w:rsidRPr="00E552A3">
        <w:rPr>
          <w:rFonts w:ascii="Arial" w:hAnsi="Arial"/>
          <w:sz w:val="20"/>
        </w:rPr>
        <w:t>the data protection laws of the country in which the data exporter is established, or</w:t>
      </w:r>
    </w:p>
    <w:p w14:paraId="71FFE42E" w14:textId="77777777" w:rsidR="00E552A3" w:rsidRDefault="00E552A3" w:rsidP="00E552A3">
      <w:pPr>
        <w:pStyle w:val="ListParagraph"/>
        <w:jc w:val="both"/>
        <w:rPr>
          <w:rFonts w:ascii="Arial" w:hAnsi="Arial"/>
          <w:sz w:val="20"/>
        </w:rPr>
      </w:pPr>
    </w:p>
    <w:p w14:paraId="4ED41A89" w14:textId="00E1BA91" w:rsidR="00E552A3" w:rsidRDefault="00E552A3" w:rsidP="00E552A3">
      <w:pPr>
        <w:pStyle w:val="ListParagraph"/>
        <w:numPr>
          <w:ilvl w:val="1"/>
          <w:numId w:val="1"/>
        </w:numPr>
        <w:ind w:left="720" w:firstLine="0"/>
        <w:jc w:val="both"/>
        <w:rPr>
          <w:rFonts w:ascii="Arial" w:hAnsi="Arial"/>
          <w:sz w:val="20"/>
        </w:rPr>
      </w:pPr>
      <w:r w:rsidRPr="00E552A3">
        <w:rPr>
          <w:rFonts w:ascii="Arial" w:hAnsi="Arial"/>
          <w:sz w:val="20"/>
        </w:rPr>
        <w:t>the relevant provisions</w:t>
      </w:r>
      <w:r>
        <w:rPr>
          <w:rStyle w:val="FootnoteReference"/>
          <w:rFonts w:ascii="Arial" w:hAnsi="Arial"/>
          <w:sz w:val="20"/>
        </w:rPr>
        <w:footnoteReference w:id="1"/>
      </w:r>
      <w:r w:rsidRPr="00E552A3">
        <w:rPr>
          <w:rFonts w:ascii="Arial" w:hAnsi="Arial"/>
          <w:sz w:val="20"/>
        </w:rPr>
        <w:t xml:space="preserve"> of any Commission decision pursuant to Article 25(6) of Directive 95/46/EC, where the data importer complies with the relevant provisions of such an authorisation or decision and is based in a country to which such an authorisation or decision pertains, but is not </w:t>
      </w:r>
      <w:r w:rsidRPr="00E552A3">
        <w:rPr>
          <w:rFonts w:ascii="Arial" w:hAnsi="Arial"/>
          <w:sz w:val="20"/>
        </w:rPr>
        <w:lastRenderedPageBreak/>
        <w:t>covered by such authorisation or decision for the purposes of the transfer(s) of the personal data</w:t>
      </w:r>
      <w:r>
        <w:rPr>
          <w:rStyle w:val="FootnoteReference"/>
          <w:rFonts w:ascii="Arial" w:hAnsi="Arial"/>
          <w:sz w:val="20"/>
        </w:rPr>
        <w:footnoteReference w:id="2"/>
      </w:r>
      <w:r w:rsidRPr="00E552A3">
        <w:rPr>
          <w:rFonts w:ascii="Arial" w:hAnsi="Arial"/>
          <w:sz w:val="20"/>
        </w:rPr>
        <w:t>, or</w:t>
      </w:r>
    </w:p>
    <w:p w14:paraId="2F397811" w14:textId="77777777" w:rsidR="00E552A3" w:rsidRPr="00E552A3" w:rsidRDefault="00E552A3" w:rsidP="00E552A3">
      <w:pPr>
        <w:pStyle w:val="ListParagraph"/>
        <w:rPr>
          <w:rFonts w:ascii="Arial" w:hAnsi="Arial"/>
          <w:sz w:val="20"/>
        </w:rPr>
      </w:pPr>
    </w:p>
    <w:p w14:paraId="214F5003" w14:textId="77777777" w:rsidR="00E552A3" w:rsidRDefault="00E552A3" w:rsidP="00E552A3">
      <w:pPr>
        <w:pStyle w:val="ListParagraph"/>
        <w:numPr>
          <w:ilvl w:val="1"/>
          <w:numId w:val="1"/>
        </w:numPr>
        <w:ind w:left="720" w:firstLine="0"/>
        <w:jc w:val="both"/>
        <w:rPr>
          <w:rFonts w:ascii="Arial" w:hAnsi="Arial"/>
          <w:sz w:val="20"/>
        </w:rPr>
      </w:pPr>
      <w:r w:rsidRPr="00E552A3">
        <w:rPr>
          <w:rFonts w:ascii="Arial" w:hAnsi="Arial"/>
          <w:sz w:val="20"/>
        </w:rPr>
        <w:t>the data processing principles set forth in Annex A.</w:t>
      </w:r>
    </w:p>
    <w:p w14:paraId="7ABD5150" w14:textId="77777777" w:rsidR="00E552A3" w:rsidRPr="00E552A3" w:rsidRDefault="00E552A3" w:rsidP="00E552A3">
      <w:pPr>
        <w:pStyle w:val="ListParagraph"/>
        <w:rPr>
          <w:rFonts w:ascii="Arial" w:hAnsi="Arial"/>
          <w:sz w:val="20"/>
        </w:rPr>
      </w:pPr>
    </w:p>
    <w:p w14:paraId="1DED87E9" w14:textId="39ABE622" w:rsidR="00E552A3" w:rsidRPr="00A267EB" w:rsidRDefault="00E552A3" w:rsidP="00E552A3">
      <w:pPr>
        <w:pStyle w:val="ListParagraph"/>
        <w:ind w:left="1170"/>
        <w:jc w:val="both"/>
        <w:rPr>
          <w:rFonts w:ascii="Arial" w:hAnsi="Arial"/>
          <w:sz w:val="20"/>
        </w:rPr>
      </w:pPr>
      <w:r w:rsidRPr="00E552A3">
        <w:rPr>
          <w:rFonts w:ascii="Arial" w:hAnsi="Arial"/>
          <w:sz w:val="20"/>
        </w:rPr>
        <w:t>Data importer to indicate which option it selects:</w:t>
      </w:r>
      <w:r>
        <w:rPr>
          <w:rFonts w:ascii="Arial" w:hAnsi="Arial"/>
          <w:sz w:val="20"/>
        </w:rPr>
        <w:t xml:space="preserve"> </w:t>
      </w:r>
      <w:r w:rsidR="00A267EB" w:rsidRPr="00A267EB">
        <w:rPr>
          <w:rFonts w:ascii="Arial" w:hAnsi="Arial"/>
          <w:b/>
          <w:sz w:val="20"/>
        </w:rPr>
        <w:t>[</w:t>
      </w:r>
      <w:r w:rsidR="00DA02AE" w:rsidRPr="00DA02AE">
        <w:rPr>
          <w:rFonts w:ascii="Arial" w:hAnsi="Arial"/>
          <w:b/>
          <w:i/>
          <w:sz w:val="20"/>
        </w:rPr>
        <w:t>C</w:t>
      </w:r>
      <w:r w:rsidR="00693E37" w:rsidRPr="00DA02AE">
        <w:rPr>
          <w:rFonts w:ascii="Arial" w:hAnsi="Arial"/>
          <w:b/>
          <w:i/>
          <w:sz w:val="20"/>
        </w:rPr>
        <w:t xml:space="preserve">lause </w:t>
      </w:r>
      <w:r w:rsidRPr="00DA02AE">
        <w:rPr>
          <w:rFonts w:ascii="Arial" w:hAnsi="Arial"/>
          <w:b/>
          <w:i/>
          <w:sz w:val="20"/>
        </w:rPr>
        <w:t>(iii)</w:t>
      </w:r>
      <w:r w:rsidR="00A267EB">
        <w:rPr>
          <w:rFonts w:ascii="Arial" w:hAnsi="Arial"/>
          <w:b/>
          <w:sz w:val="20"/>
        </w:rPr>
        <w:t>]</w:t>
      </w:r>
    </w:p>
    <w:p w14:paraId="21691A2A" w14:textId="581D6EC9" w:rsidR="00693E37" w:rsidRDefault="00693E37" w:rsidP="00E552A3">
      <w:pPr>
        <w:pStyle w:val="ListParagraph"/>
        <w:ind w:left="1170"/>
        <w:jc w:val="both"/>
        <w:rPr>
          <w:rFonts w:ascii="Arial" w:hAnsi="Arial"/>
          <w:sz w:val="20"/>
        </w:rPr>
      </w:pPr>
    </w:p>
    <w:p w14:paraId="7C2FF154" w14:textId="61E0D0C9" w:rsidR="00693E37" w:rsidRPr="00A267EB" w:rsidRDefault="00693E37" w:rsidP="00E552A3">
      <w:pPr>
        <w:pStyle w:val="ListParagraph"/>
        <w:ind w:left="1170"/>
        <w:jc w:val="both"/>
        <w:rPr>
          <w:rFonts w:ascii="Arial" w:hAnsi="Arial"/>
          <w:b/>
          <w:sz w:val="20"/>
        </w:rPr>
      </w:pPr>
      <w:r w:rsidRPr="00DA02AE">
        <w:rPr>
          <w:rFonts w:ascii="Arial" w:hAnsi="Arial"/>
          <w:sz w:val="20"/>
        </w:rPr>
        <w:t>Initials of data importer:</w:t>
      </w:r>
      <w:r w:rsidR="00DA02AE">
        <w:rPr>
          <w:rFonts w:ascii="Arial" w:hAnsi="Arial"/>
          <w:b/>
          <w:i/>
          <w:sz w:val="20"/>
        </w:rPr>
        <w:t xml:space="preserve"> </w:t>
      </w:r>
      <w:r w:rsidR="00A267EB">
        <w:rPr>
          <w:rFonts w:ascii="Arial" w:hAnsi="Arial"/>
          <w:b/>
          <w:sz w:val="20"/>
        </w:rPr>
        <w:t>[</w:t>
      </w:r>
      <w:r w:rsidR="00DA02AE">
        <w:rPr>
          <w:rFonts w:ascii="Arial" w:hAnsi="Arial"/>
          <w:b/>
          <w:i/>
          <w:sz w:val="20"/>
        </w:rPr>
        <w:t>OTCM</w:t>
      </w:r>
      <w:r w:rsidR="00A267EB">
        <w:rPr>
          <w:rFonts w:ascii="Arial" w:hAnsi="Arial"/>
          <w:b/>
          <w:sz w:val="20"/>
        </w:rPr>
        <w:t>]</w:t>
      </w:r>
    </w:p>
    <w:p w14:paraId="2DEEE044" w14:textId="77777777" w:rsidR="00E552A3" w:rsidRDefault="00E552A3" w:rsidP="00E552A3">
      <w:pPr>
        <w:pStyle w:val="ListParagraph"/>
        <w:jc w:val="both"/>
        <w:rPr>
          <w:rFonts w:ascii="Arial" w:hAnsi="Arial"/>
          <w:sz w:val="20"/>
        </w:rPr>
      </w:pPr>
    </w:p>
    <w:p w14:paraId="506ACE5A" w14:textId="75DF924E" w:rsidR="00E552A3" w:rsidRDefault="00E552A3" w:rsidP="00E552A3">
      <w:pPr>
        <w:pStyle w:val="ListParagraph"/>
        <w:numPr>
          <w:ilvl w:val="0"/>
          <w:numId w:val="8"/>
        </w:numPr>
        <w:jc w:val="both"/>
        <w:rPr>
          <w:rFonts w:ascii="Arial" w:hAnsi="Arial"/>
          <w:sz w:val="20"/>
        </w:rPr>
      </w:pPr>
      <w:r w:rsidRPr="00E552A3">
        <w:rPr>
          <w:rFonts w:ascii="Arial" w:hAnsi="Arial"/>
          <w:sz w:val="20"/>
        </w:rPr>
        <w:t>It will not disclose or transfer the personal data to a third party data controller located outside the European Economic Area (EEA) unless it notifies the data exporter about the transfer and</w:t>
      </w:r>
    </w:p>
    <w:p w14:paraId="7684F238" w14:textId="77777777" w:rsidR="00693E37" w:rsidRDefault="00693E37" w:rsidP="00693E37">
      <w:pPr>
        <w:pStyle w:val="ListParagraph"/>
        <w:ind w:left="1170"/>
        <w:jc w:val="both"/>
        <w:rPr>
          <w:rFonts w:ascii="Arial" w:hAnsi="Arial"/>
          <w:sz w:val="20"/>
        </w:rPr>
      </w:pPr>
    </w:p>
    <w:p w14:paraId="3973631C" w14:textId="77777777" w:rsidR="00693E37" w:rsidRDefault="00943DE0" w:rsidP="00693E37">
      <w:pPr>
        <w:pStyle w:val="ListParagraph"/>
        <w:numPr>
          <w:ilvl w:val="0"/>
          <w:numId w:val="10"/>
        </w:numPr>
        <w:jc w:val="both"/>
        <w:rPr>
          <w:rFonts w:ascii="Arial" w:hAnsi="Arial"/>
          <w:sz w:val="20"/>
        </w:rPr>
      </w:pPr>
      <w:r w:rsidRPr="00693E37">
        <w:rPr>
          <w:rFonts w:ascii="Arial" w:hAnsi="Arial"/>
          <w:sz w:val="20"/>
        </w:rPr>
        <w:t>the third party data controller processes the personal data in accordance with a Commission decision finding that a third country provides adequate protection, or</w:t>
      </w:r>
    </w:p>
    <w:p w14:paraId="204360F0" w14:textId="77777777" w:rsidR="00693E37" w:rsidRDefault="00693E37" w:rsidP="00693E37">
      <w:pPr>
        <w:pStyle w:val="ListParagraph"/>
        <w:ind w:left="1170"/>
        <w:jc w:val="both"/>
        <w:rPr>
          <w:rFonts w:ascii="Arial" w:hAnsi="Arial"/>
          <w:sz w:val="20"/>
        </w:rPr>
      </w:pPr>
    </w:p>
    <w:p w14:paraId="752A9C3D" w14:textId="77777777" w:rsidR="00693E37" w:rsidRDefault="00943DE0" w:rsidP="00693E37">
      <w:pPr>
        <w:pStyle w:val="ListParagraph"/>
        <w:numPr>
          <w:ilvl w:val="0"/>
          <w:numId w:val="10"/>
        </w:numPr>
        <w:jc w:val="both"/>
        <w:rPr>
          <w:rFonts w:ascii="Arial" w:hAnsi="Arial"/>
          <w:sz w:val="20"/>
        </w:rPr>
      </w:pPr>
      <w:r w:rsidRPr="00693E37">
        <w:rPr>
          <w:rFonts w:ascii="Arial" w:hAnsi="Arial"/>
          <w:sz w:val="20"/>
        </w:rPr>
        <w:t>the third party data controller becomes a signatory to these clauses or another data transfer agreement approved by a competent authority in the EU, or</w:t>
      </w:r>
    </w:p>
    <w:p w14:paraId="7EB8BED3" w14:textId="77777777" w:rsidR="00693E37" w:rsidRPr="00693E37" w:rsidRDefault="00693E37" w:rsidP="00693E37">
      <w:pPr>
        <w:pStyle w:val="ListParagraph"/>
        <w:rPr>
          <w:rFonts w:ascii="Arial" w:hAnsi="Arial"/>
          <w:sz w:val="20"/>
        </w:rPr>
      </w:pPr>
    </w:p>
    <w:p w14:paraId="27EA13FE" w14:textId="77777777" w:rsidR="00693E37" w:rsidRDefault="00943DE0" w:rsidP="00693E37">
      <w:pPr>
        <w:pStyle w:val="ListParagraph"/>
        <w:numPr>
          <w:ilvl w:val="0"/>
          <w:numId w:val="10"/>
        </w:numPr>
        <w:jc w:val="both"/>
        <w:rPr>
          <w:rFonts w:ascii="Arial" w:hAnsi="Arial"/>
          <w:sz w:val="20"/>
        </w:rPr>
      </w:pPr>
      <w:r w:rsidRPr="00693E37">
        <w:rPr>
          <w:rFonts w:ascii="Arial" w:hAnsi="Arial"/>
          <w:sz w:val="20"/>
        </w:rPr>
        <w:t>data subjects have been given the opportunity to object, after having been informed of the purposes of the transfer, the categories of recipients and the fact that the countries to which data is exported may have different data protection standards, or</w:t>
      </w:r>
    </w:p>
    <w:p w14:paraId="5A0DB0D1" w14:textId="77777777" w:rsidR="00693E37" w:rsidRPr="00693E37" w:rsidRDefault="00693E37" w:rsidP="00693E37">
      <w:pPr>
        <w:pStyle w:val="ListParagraph"/>
        <w:rPr>
          <w:rFonts w:ascii="Arial" w:hAnsi="Arial"/>
          <w:sz w:val="20"/>
        </w:rPr>
      </w:pPr>
    </w:p>
    <w:p w14:paraId="2DD652A0" w14:textId="587EE4A8" w:rsidR="00943DE0" w:rsidRDefault="00943DE0" w:rsidP="00693E37">
      <w:pPr>
        <w:pStyle w:val="ListParagraph"/>
        <w:numPr>
          <w:ilvl w:val="0"/>
          <w:numId w:val="10"/>
        </w:numPr>
        <w:jc w:val="both"/>
        <w:rPr>
          <w:rFonts w:ascii="Arial" w:hAnsi="Arial"/>
          <w:sz w:val="20"/>
        </w:rPr>
      </w:pPr>
      <w:proofErr w:type="gramStart"/>
      <w:r w:rsidRPr="00693E37">
        <w:rPr>
          <w:rFonts w:ascii="Arial" w:hAnsi="Arial"/>
          <w:sz w:val="20"/>
        </w:rPr>
        <w:t>with regard to</w:t>
      </w:r>
      <w:proofErr w:type="gramEnd"/>
      <w:r w:rsidRPr="00693E37">
        <w:rPr>
          <w:rFonts w:ascii="Arial" w:hAnsi="Arial"/>
          <w:sz w:val="20"/>
        </w:rPr>
        <w:t xml:space="preserve"> onward transfers of sensitive data, data subjects have given their unambiguous consent to the onward transfer</w:t>
      </w:r>
    </w:p>
    <w:p w14:paraId="1716D614" w14:textId="2F1D9FE5" w:rsidR="0022348A" w:rsidRDefault="0022348A" w:rsidP="0022348A">
      <w:pPr>
        <w:jc w:val="both"/>
        <w:rPr>
          <w:rFonts w:ascii="Arial" w:hAnsi="Arial"/>
          <w:sz w:val="20"/>
        </w:rPr>
      </w:pPr>
    </w:p>
    <w:p w14:paraId="1E8BDA07" w14:textId="406AD9A3" w:rsidR="0022348A" w:rsidRPr="0022348A" w:rsidRDefault="0022348A" w:rsidP="0022348A">
      <w:pPr>
        <w:pStyle w:val="ListParagraph"/>
        <w:numPr>
          <w:ilvl w:val="0"/>
          <w:numId w:val="6"/>
        </w:numPr>
        <w:ind w:left="360" w:hanging="360"/>
        <w:jc w:val="both"/>
        <w:rPr>
          <w:rFonts w:ascii="Arial" w:hAnsi="Arial"/>
          <w:b/>
          <w:sz w:val="20"/>
        </w:rPr>
      </w:pPr>
      <w:r w:rsidRPr="0022348A">
        <w:rPr>
          <w:rFonts w:ascii="Arial" w:hAnsi="Arial"/>
          <w:b/>
          <w:sz w:val="20"/>
        </w:rPr>
        <w:t>Liability and third party rights</w:t>
      </w:r>
    </w:p>
    <w:p w14:paraId="5E2C27E4" w14:textId="1160C879" w:rsidR="0022348A" w:rsidRDefault="0022348A" w:rsidP="0022348A">
      <w:pPr>
        <w:jc w:val="both"/>
        <w:rPr>
          <w:rFonts w:ascii="Arial" w:hAnsi="Arial"/>
          <w:sz w:val="20"/>
        </w:rPr>
      </w:pPr>
    </w:p>
    <w:p w14:paraId="0DA7B5A2" w14:textId="0BFA41AA" w:rsidR="0022348A" w:rsidRDefault="0022348A" w:rsidP="0022348A">
      <w:pPr>
        <w:pStyle w:val="ListParagraph"/>
        <w:numPr>
          <w:ilvl w:val="0"/>
          <w:numId w:val="11"/>
        </w:numPr>
        <w:jc w:val="both"/>
        <w:rPr>
          <w:rFonts w:ascii="Arial" w:hAnsi="Arial"/>
          <w:sz w:val="20"/>
        </w:rPr>
      </w:pPr>
      <w:r w:rsidRPr="0022348A">
        <w:rPr>
          <w:rFonts w:ascii="Arial" w:hAnsi="Arial"/>
          <w:sz w:val="20"/>
        </w:rPr>
        <w:t>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its data protection law.</w:t>
      </w:r>
    </w:p>
    <w:p w14:paraId="6449E6CE" w14:textId="77777777" w:rsidR="0022348A" w:rsidRDefault="0022348A" w:rsidP="0022348A">
      <w:pPr>
        <w:pStyle w:val="ListParagraph"/>
        <w:jc w:val="both"/>
        <w:rPr>
          <w:rFonts w:ascii="Arial" w:hAnsi="Arial"/>
          <w:sz w:val="20"/>
        </w:rPr>
      </w:pPr>
    </w:p>
    <w:p w14:paraId="48F78CB8" w14:textId="298C4A6F" w:rsidR="0022348A" w:rsidRDefault="0022348A" w:rsidP="0022348A">
      <w:pPr>
        <w:pStyle w:val="ListParagraph"/>
        <w:numPr>
          <w:ilvl w:val="0"/>
          <w:numId w:val="11"/>
        </w:numPr>
        <w:jc w:val="both"/>
        <w:rPr>
          <w:rFonts w:ascii="Arial" w:hAnsi="Arial"/>
          <w:sz w:val="20"/>
        </w:rPr>
      </w:pPr>
      <w:r w:rsidRPr="0022348A">
        <w:rPr>
          <w:rFonts w:ascii="Arial" w:hAnsi="Arial"/>
          <w:sz w:val="20"/>
        </w:rP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14:paraId="06105BC5" w14:textId="4427D236" w:rsidR="0022348A" w:rsidRDefault="0022348A" w:rsidP="0022348A">
      <w:pPr>
        <w:jc w:val="both"/>
        <w:rPr>
          <w:rFonts w:ascii="Arial" w:hAnsi="Arial"/>
          <w:sz w:val="20"/>
        </w:rPr>
      </w:pPr>
    </w:p>
    <w:p w14:paraId="46B8451F" w14:textId="1D348EB3" w:rsidR="0022348A" w:rsidRPr="0022348A" w:rsidRDefault="0022348A" w:rsidP="0022348A">
      <w:pPr>
        <w:pStyle w:val="ListParagraph"/>
        <w:numPr>
          <w:ilvl w:val="0"/>
          <w:numId w:val="6"/>
        </w:numPr>
        <w:ind w:left="360" w:hanging="360"/>
        <w:jc w:val="both"/>
        <w:rPr>
          <w:rFonts w:ascii="Arial" w:hAnsi="Arial"/>
          <w:b/>
          <w:sz w:val="20"/>
        </w:rPr>
      </w:pPr>
      <w:r w:rsidRPr="0022348A">
        <w:rPr>
          <w:rFonts w:ascii="Arial" w:hAnsi="Arial"/>
          <w:b/>
          <w:sz w:val="20"/>
        </w:rPr>
        <w:t>Law applicable to the clauses</w:t>
      </w:r>
    </w:p>
    <w:p w14:paraId="04531CBB" w14:textId="426E9B76" w:rsidR="0022348A" w:rsidRDefault="0022348A" w:rsidP="0022348A">
      <w:pPr>
        <w:jc w:val="both"/>
        <w:rPr>
          <w:rFonts w:ascii="Arial" w:hAnsi="Arial"/>
          <w:sz w:val="20"/>
        </w:rPr>
      </w:pPr>
    </w:p>
    <w:p w14:paraId="284EE366" w14:textId="2E6E66F3" w:rsidR="0022348A" w:rsidRDefault="0022348A" w:rsidP="0022348A">
      <w:pPr>
        <w:jc w:val="both"/>
        <w:rPr>
          <w:rFonts w:ascii="Arial" w:hAnsi="Arial"/>
          <w:sz w:val="20"/>
        </w:rPr>
      </w:pPr>
      <w:r w:rsidRPr="0022348A">
        <w:rPr>
          <w:rFonts w:ascii="Arial" w:hAnsi="Arial"/>
          <w:sz w:val="20"/>
        </w:rP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14:paraId="5C7034E5" w14:textId="77777777" w:rsidR="00823112" w:rsidRDefault="00823112" w:rsidP="0022348A">
      <w:pPr>
        <w:jc w:val="both"/>
        <w:rPr>
          <w:rFonts w:ascii="Arial" w:hAnsi="Arial"/>
          <w:sz w:val="20"/>
        </w:rPr>
      </w:pPr>
    </w:p>
    <w:p w14:paraId="1A1D47F1" w14:textId="705D9B59" w:rsidR="0022348A" w:rsidRDefault="0022348A" w:rsidP="0022348A">
      <w:pPr>
        <w:jc w:val="both"/>
        <w:rPr>
          <w:rFonts w:ascii="Arial" w:hAnsi="Arial"/>
          <w:sz w:val="20"/>
        </w:rPr>
      </w:pPr>
    </w:p>
    <w:p w14:paraId="521DAB61" w14:textId="7E3DEEDB" w:rsidR="0022348A" w:rsidRPr="0022348A" w:rsidRDefault="0022348A" w:rsidP="0022348A">
      <w:pPr>
        <w:pStyle w:val="ListParagraph"/>
        <w:numPr>
          <w:ilvl w:val="0"/>
          <w:numId w:val="6"/>
        </w:numPr>
        <w:ind w:left="360" w:hanging="360"/>
        <w:jc w:val="both"/>
        <w:rPr>
          <w:rFonts w:ascii="Arial" w:hAnsi="Arial"/>
          <w:b/>
          <w:sz w:val="20"/>
        </w:rPr>
      </w:pPr>
      <w:r w:rsidRPr="0022348A">
        <w:rPr>
          <w:rFonts w:ascii="Arial" w:hAnsi="Arial"/>
          <w:b/>
          <w:sz w:val="20"/>
        </w:rPr>
        <w:lastRenderedPageBreak/>
        <w:t>Resolution of disputes with data subjects or the authority</w:t>
      </w:r>
    </w:p>
    <w:p w14:paraId="29013E3F" w14:textId="544526BF" w:rsidR="0022348A" w:rsidRDefault="0022348A" w:rsidP="0022348A">
      <w:pPr>
        <w:jc w:val="both"/>
        <w:rPr>
          <w:rFonts w:ascii="Arial" w:hAnsi="Arial"/>
          <w:sz w:val="20"/>
        </w:rPr>
      </w:pPr>
    </w:p>
    <w:p w14:paraId="732C76B7" w14:textId="3751643C" w:rsidR="0022348A" w:rsidRPr="0022348A" w:rsidRDefault="0022348A" w:rsidP="0022348A">
      <w:pPr>
        <w:pStyle w:val="ListParagraph"/>
        <w:numPr>
          <w:ilvl w:val="0"/>
          <w:numId w:val="12"/>
        </w:numPr>
        <w:jc w:val="both"/>
        <w:rPr>
          <w:rFonts w:ascii="Arial" w:hAnsi="Arial"/>
          <w:sz w:val="20"/>
        </w:rPr>
      </w:pPr>
      <w:r w:rsidRPr="0022348A">
        <w:rPr>
          <w:rFonts w:ascii="Arial" w:hAnsi="Arial"/>
          <w:sz w:val="20"/>
        </w:rPr>
        <w:t>In the event of a dispute or claim brought by a data subject or the authority concerning the processing of the personal data against either or both of the parties, the parties will inform each other about any such disputes or claims, and will cooperate with a view to settling them amicably in a timely fashion.</w:t>
      </w:r>
    </w:p>
    <w:p w14:paraId="5B91F162" w14:textId="77777777" w:rsidR="0022348A" w:rsidRDefault="0022348A" w:rsidP="0022348A">
      <w:pPr>
        <w:pStyle w:val="ListParagraph"/>
        <w:jc w:val="both"/>
        <w:rPr>
          <w:rFonts w:ascii="Arial" w:hAnsi="Arial"/>
          <w:sz w:val="20"/>
        </w:rPr>
      </w:pPr>
    </w:p>
    <w:p w14:paraId="715F3AC4" w14:textId="39931B7A" w:rsidR="0022348A" w:rsidRPr="0022348A" w:rsidRDefault="0022348A" w:rsidP="0022348A">
      <w:pPr>
        <w:pStyle w:val="ListParagraph"/>
        <w:numPr>
          <w:ilvl w:val="0"/>
          <w:numId w:val="12"/>
        </w:numPr>
        <w:jc w:val="both"/>
        <w:rPr>
          <w:rFonts w:ascii="Arial" w:hAnsi="Arial"/>
          <w:sz w:val="20"/>
        </w:rPr>
      </w:pPr>
      <w:r w:rsidRPr="0022348A">
        <w:rPr>
          <w:rFonts w:ascii="Arial" w:hAnsi="Arial"/>
          <w:sz w:val="20"/>
        </w:rPr>
        <w:t>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14:paraId="08E3ABAA" w14:textId="77777777" w:rsidR="0022348A" w:rsidRDefault="0022348A" w:rsidP="0022348A">
      <w:pPr>
        <w:pStyle w:val="ListParagraph"/>
        <w:jc w:val="both"/>
        <w:rPr>
          <w:rFonts w:ascii="Arial" w:hAnsi="Arial"/>
          <w:sz w:val="20"/>
        </w:rPr>
      </w:pPr>
    </w:p>
    <w:p w14:paraId="7BEC5409" w14:textId="53769FF7" w:rsidR="0022348A" w:rsidRPr="0022348A" w:rsidRDefault="0022348A" w:rsidP="0022348A">
      <w:pPr>
        <w:pStyle w:val="ListParagraph"/>
        <w:numPr>
          <w:ilvl w:val="0"/>
          <w:numId w:val="12"/>
        </w:numPr>
        <w:jc w:val="both"/>
        <w:rPr>
          <w:rFonts w:ascii="Arial" w:hAnsi="Arial"/>
          <w:sz w:val="20"/>
        </w:rPr>
      </w:pPr>
      <w:r w:rsidRPr="0022348A">
        <w:rPr>
          <w:rFonts w:ascii="Arial" w:hAnsi="Arial"/>
          <w:sz w:val="20"/>
        </w:rPr>
        <w:t>Each party shall abide by a decision of a competent court of the data exporter’s country of establishment or of the authority which is final and against which no further appeal is possible.</w:t>
      </w:r>
    </w:p>
    <w:p w14:paraId="023D06CC" w14:textId="77777777" w:rsidR="0022348A" w:rsidRPr="0022348A" w:rsidRDefault="0022348A" w:rsidP="0022348A">
      <w:pPr>
        <w:jc w:val="both"/>
        <w:rPr>
          <w:rFonts w:ascii="Arial" w:hAnsi="Arial"/>
          <w:sz w:val="20"/>
        </w:rPr>
      </w:pPr>
    </w:p>
    <w:p w14:paraId="1EBE6EBB" w14:textId="4BC3196A" w:rsidR="0022348A" w:rsidRPr="0022348A" w:rsidRDefault="0022348A" w:rsidP="0022348A">
      <w:pPr>
        <w:pStyle w:val="ListParagraph"/>
        <w:numPr>
          <w:ilvl w:val="0"/>
          <w:numId w:val="6"/>
        </w:numPr>
        <w:ind w:left="360" w:hanging="360"/>
        <w:jc w:val="both"/>
        <w:rPr>
          <w:rFonts w:ascii="Arial" w:hAnsi="Arial"/>
          <w:b/>
          <w:sz w:val="20"/>
        </w:rPr>
      </w:pPr>
      <w:r w:rsidRPr="0022348A">
        <w:rPr>
          <w:rFonts w:ascii="Arial" w:hAnsi="Arial"/>
          <w:b/>
          <w:sz w:val="20"/>
        </w:rPr>
        <w:t xml:space="preserve">Termination </w:t>
      </w:r>
    </w:p>
    <w:p w14:paraId="16B2DFA9" w14:textId="311A2771" w:rsidR="0022348A" w:rsidRDefault="0022348A" w:rsidP="0022348A">
      <w:pPr>
        <w:jc w:val="both"/>
        <w:rPr>
          <w:rFonts w:ascii="Arial" w:hAnsi="Arial"/>
          <w:sz w:val="20"/>
        </w:rPr>
      </w:pPr>
    </w:p>
    <w:p w14:paraId="0593028D" w14:textId="10ED1A50" w:rsidR="0022348A" w:rsidRPr="0022348A" w:rsidRDefault="0022348A" w:rsidP="0022348A">
      <w:pPr>
        <w:pStyle w:val="ListParagraph"/>
        <w:numPr>
          <w:ilvl w:val="0"/>
          <w:numId w:val="14"/>
        </w:numPr>
        <w:jc w:val="both"/>
        <w:rPr>
          <w:rFonts w:ascii="Arial" w:hAnsi="Arial"/>
          <w:sz w:val="20"/>
        </w:rPr>
      </w:pPr>
      <w:proofErr w:type="gramStart"/>
      <w:r w:rsidRPr="0022348A">
        <w:rPr>
          <w:rFonts w:ascii="Arial" w:hAnsi="Arial"/>
          <w:sz w:val="20"/>
        </w:rPr>
        <w:t>In the event that</w:t>
      </w:r>
      <w:proofErr w:type="gramEnd"/>
      <w:r w:rsidRPr="0022348A">
        <w:rPr>
          <w:rFonts w:ascii="Arial" w:hAnsi="Arial"/>
          <w:sz w:val="20"/>
        </w:rPr>
        <w:t xml:space="preserve"> the data importer is in breach of its obligations under these clauses, then the data exporter may temporarily suspend the transfer of personal data to the data importer until the breach is repaired or the contract is terminated.</w:t>
      </w:r>
    </w:p>
    <w:p w14:paraId="6B2979D0" w14:textId="77777777" w:rsidR="0022348A" w:rsidRDefault="0022348A" w:rsidP="0022348A">
      <w:pPr>
        <w:pStyle w:val="ListParagraph"/>
        <w:jc w:val="both"/>
        <w:rPr>
          <w:rFonts w:ascii="Arial" w:hAnsi="Arial"/>
          <w:sz w:val="20"/>
        </w:rPr>
      </w:pPr>
    </w:p>
    <w:p w14:paraId="5367D505" w14:textId="4789FCF3" w:rsidR="0022348A" w:rsidRDefault="0022348A" w:rsidP="0022348A">
      <w:pPr>
        <w:pStyle w:val="ListParagraph"/>
        <w:numPr>
          <w:ilvl w:val="0"/>
          <w:numId w:val="14"/>
        </w:numPr>
        <w:jc w:val="both"/>
        <w:rPr>
          <w:rFonts w:ascii="Arial" w:hAnsi="Arial"/>
          <w:sz w:val="20"/>
        </w:rPr>
      </w:pPr>
      <w:proofErr w:type="gramStart"/>
      <w:r w:rsidRPr="0022348A">
        <w:rPr>
          <w:rFonts w:ascii="Arial" w:hAnsi="Arial"/>
          <w:sz w:val="20"/>
        </w:rPr>
        <w:t>In the event that</w:t>
      </w:r>
      <w:proofErr w:type="gramEnd"/>
      <w:r w:rsidRPr="0022348A">
        <w:rPr>
          <w:rFonts w:ascii="Arial" w:hAnsi="Arial"/>
          <w:sz w:val="20"/>
        </w:rPr>
        <w:t>:</w:t>
      </w:r>
    </w:p>
    <w:p w14:paraId="5AD39C2C" w14:textId="77777777" w:rsidR="0022348A" w:rsidRPr="0022348A" w:rsidRDefault="0022348A" w:rsidP="0022348A">
      <w:pPr>
        <w:pStyle w:val="ListParagraph"/>
        <w:rPr>
          <w:rFonts w:ascii="Arial" w:hAnsi="Arial"/>
          <w:sz w:val="20"/>
        </w:rPr>
      </w:pPr>
    </w:p>
    <w:p w14:paraId="3561F2D8" w14:textId="3C5DDD27" w:rsidR="0022348A" w:rsidRPr="0022348A" w:rsidRDefault="0022348A" w:rsidP="0022348A">
      <w:pPr>
        <w:pStyle w:val="ListParagraph"/>
        <w:numPr>
          <w:ilvl w:val="1"/>
          <w:numId w:val="14"/>
        </w:numPr>
        <w:jc w:val="both"/>
        <w:rPr>
          <w:rFonts w:ascii="Arial" w:hAnsi="Arial"/>
          <w:sz w:val="20"/>
        </w:rPr>
      </w:pPr>
      <w:r w:rsidRPr="0022348A">
        <w:rPr>
          <w:rFonts w:ascii="Arial" w:hAnsi="Arial"/>
          <w:sz w:val="20"/>
        </w:rPr>
        <w:t xml:space="preserve">the transfer of personal data to the data importer has been </w:t>
      </w:r>
      <w:proofErr w:type="gramStart"/>
      <w:r w:rsidRPr="0022348A">
        <w:rPr>
          <w:rFonts w:ascii="Arial" w:hAnsi="Arial"/>
          <w:sz w:val="20"/>
        </w:rPr>
        <w:t>temporarily suspended</w:t>
      </w:r>
      <w:proofErr w:type="gramEnd"/>
      <w:r w:rsidRPr="0022348A">
        <w:rPr>
          <w:rFonts w:ascii="Arial" w:hAnsi="Arial"/>
          <w:sz w:val="20"/>
        </w:rPr>
        <w:t xml:space="preserve"> by the data exporter for longer than one month pursuant to paragraph (a);</w:t>
      </w:r>
    </w:p>
    <w:p w14:paraId="09AE113A" w14:textId="77777777" w:rsidR="0022348A" w:rsidRPr="0022348A" w:rsidRDefault="0022348A" w:rsidP="0022348A">
      <w:pPr>
        <w:pStyle w:val="ListParagraph"/>
        <w:ind w:left="1440"/>
        <w:jc w:val="both"/>
        <w:rPr>
          <w:rFonts w:ascii="Arial" w:hAnsi="Arial"/>
          <w:sz w:val="20"/>
        </w:rPr>
      </w:pPr>
    </w:p>
    <w:p w14:paraId="096F2A03" w14:textId="58F85B0C" w:rsidR="0022348A" w:rsidRDefault="0022348A" w:rsidP="0022348A">
      <w:pPr>
        <w:pStyle w:val="ListParagraph"/>
        <w:numPr>
          <w:ilvl w:val="1"/>
          <w:numId w:val="14"/>
        </w:numPr>
        <w:jc w:val="both"/>
        <w:rPr>
          <w:rFonts w:ascii="Arial" w:hAnsi="Arial"/>
          <w:sz w:val="20"/>
        </w:rPr>
      </w:pPr>
      <w:r w:rsidRPr="0022348A">
        <w:rPr>
          <w:rFonts w:ascii="Arial" w:hAnsi="Arial"/>
          <w:sz w:val="20"/>
        </w:rPr>
        <w:t>compliance by the data importer with these clauses would put it in breach of its legal or regulatory obligations in the country of import;</w:t>
      </w:r>
    </w:p>
    <w:p w14:paraId="37A67DC0" w14:textId="77777777" w:rsidR="0022348A" w:rsidRPr="0022348A" w:rsidRDefault="0022348A" w:rsidP="0022348A">
      <w:pPr>
        <w:pStyle w:val="ListParagraph"/>
        <w:rPr>
          <w:rFonts w:ascii="Arial" w:hAnsi="Arial"/>
          <w:sz w:val="20"/>
        </w:rPr>
      </w:pPr>
    </w:p>
    <w:p w14:paraId="604683FD" w14:textId="57218D94" w:rsidR="0022348A" w:rsidRPr="0022348A" w:rsidRDefault="0022348A" w:rsidP="0022348A">
      <w:pPr>
        <w:pStyle w:val="ListParagraph"/>
        <w:numPr>
          <w:ilvl w:val="1"/>
          <w:numId w:val="14"/>
        </w:numPr>
        <w:jc w:val="both"/>
        <w:rPr>
          <w:rFonts w:ascii="Arial" w:hAnsi="Arial"/>
          <w:sz w:val="20"/>
        </w:rPr>
      </w:pPr>
      <w:r w:rsidRPr="0022348A">
        <w:rPr>
          <w:rFonts w:ascii="Arial" w:hAnsi="Arial"/>
          <w:sz w:val="20"/>
        </w:rPr>
        <w:t>the data importer is in substantial or persistent breach of any warranties or undertakings given by it under these clauses;</w:t>
      </w:r>
    </w:p>
    <w:p w14:paraId="0C42707B" w14:textId="77777777" w:rsidR="0022348A" w:rsidRPr="0022348A" w:rsidRDefault="0022348A" w:rsidP="0022348A">
      <w:pPr>
        <w:jc w:val="both"/>
        <w:rPr>
          <w:rFonts w:ascii="Arial" w:hAnsi="Arial"/>
          <w:sz w:val="20"/>
        </w:rPr>
      </w:pPr>
    </w:p>
    <w:p w14:paraId="0F3A7E55" w14:textId="77C1F1BB" w:rsidR="0022348A" w:rsidRDefault="0022348A" w:rsidP="0022348A">
      <w:pPr>
        <w:pStyle w:val="ListParagraph"/>
        <w:numPr>
          <w:ilvl w:val="1"/>
          <w:numId w:val="14"/>
        </w:numPr>
        <w:jc w:val="both"/>
        <w:rPr>
          <w:rFonts w:ascii="Arial" w:hAnsi="Arial"/>
          <w:sz w:val="20"/>
        </w:rPr>
      </w:pPr>
      <w:r w:rsidRPr="0022348A">
        <w:rPr>
          <w:rFonts w:ascii="Arial" w:hAnsi="Arial"/>
          <w:sz w:val="20"/>
        </w:rPr>
        <w:t>a final decision against which no further appeal is possible of a competent court of the data exporter’s country of establishment or of the authority rules that there has been a breach of the clauses by the data importer or the data exporter; or</w:t>
      </w:r>
    </w:p>
    <w:p w14:paraId="165DE876" w14:textId="77777777" w:rsidR="0022348A" w:rsidRPr="0022348A" w:rsidRDefault="0022348A" w:rsidP="0022348A">
      <w:pPr>
        <w:pStyle w:val="ListParagraph"/>
        <w:rPr>
          <w:rFonts w:ascii="Arial" w:hAnsi="Arial"/>
          <w:sz w:val="20"/>
        </w:rPr>
      </w:pPr>
    </w:p>
    <w:p w14:paraId="13B9D2AB" w14:textId="7DCA10E0" w:rsidR="0022348A" w:rsidRDefault="0022348A" w:rsidP="0022348A">
      <w:pPr>
        <w:pStyle w:val="ListParagraph"/>
        <w:numPr>
          <w:ilvl w:val="1"/>
          <w:numId w:val="14"/>
        </w:numPr>
        <w:jc w:val="both"/>
        <w:rPr>
          <w:rFonts w:ascii="Arial" w:hAnsi="Arial"/>
          <w:sz w:val="20"/>
        </w:rPr>
      </w:pPr>
      <w:r w:rsidRPr="0022348A">
        <w:rPr>
          <w:rFonts w:ascii="Arial" w:hAnsi="Arial"/>
          <w:sz w:val="20"/>
        </w:rP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14:paraId="45B40064" w14:textId="77777777" w:rsidR="0022348A" w:rsidRPr="0022348A" w:rsidRDefault="0022348A" w:rsidP="0022348A">
      <w:pPr>
        <w:pStyle w:val="ListParagraph"/>
        <w:rPr>
          <w:rFonts w:ascii="Arial" w:hAnsi="Arial"/>
          <w:sz w:val="20"/>
        </w:rPr>
      </w:pPr>
    </w:p>
    <w:p w14:paraId="035F2814" w14:textId="520B35FE" w:rsidR="0022348A" w:rsidRDefault="0022348A" w:rsidP="0022348A">
      <w:pPr>
        <w:pStyle w:val="ListParagraph"/>
        <w:jc w:val="both"/>
        <w:rPr>
          <w:rFonts w:ascii="Arial" w:hAnsi="Arial"/>
          <w:sz w:val="20"/>
        </w:rPr>
      </w:pPr>
      <w:r w:rsidRPr="0022348A">
        <w:rPr>
          <w:rFonts w:ascii="Arial" w:hAnsi="Arial"/>
          <w:sz w:val="20"/>
        </w:rPr>
        <w:t>then the data exporter, without prejudice to any other rights which it may have against the data importer, shall be entitled to terminate these clauses, in which case the authority shall be informed where required. In cases covered by (i), (ii), or (iv) above the data importer may also terminate these clauses.</w:t>
      </w:r>
    </w:p>
    <w:p w14:paraId="132335FB" w14:textId="77777777" w:rsidR="0022348A" w:rsidRPr="0022348A" w:rsidRDefault="0022348A" w:rsidP="0022348A">
      <w:pPr>
        <w:pStyle w:val="ListParagraph"/>
        <w:jc w:val="both"/>
        <w:rPr>
          <w:rFonts w:ascii="Arial" w:hAnsi="Arial"/>
          <w:sz w:val="20"/>
        </w:rPr>
      </w:pPr>
    </w:p>
    <w:p w14:paraId="4BF65F54" w14:textId="48DA9674" w:rsidR="0022348A" w:rsidRDefault="0022348A" w:rsidP="0022348A">
      <w:pPr>
        <w:pStyle w:val="ListParagraph"/>
        <w:numPr>
          <w:ilvl w:val="0"/>
          <w:numId w:val="14"/>
        </w:numPr>
        <w:jc w:val="both"/>
        <w:rPr>
          <w:rFonts w:ascii="Arial" w:hAnsi="Arial"/>
          <w:sz w:val="20"/>
        </w:rPr>
      </w:pPr>
      <w:r>
        <w:rPr>
          <w:rFonts w:ascii="Arial" w:hAnsi="Arial"/>
          <w:sz w:val="20"/>
        </w:rPr>
        <w:t xml:space="preserve">Either </w:t>
      </w:r>
      <w:r w:rsidRPr="0022348A">
        <w:rPr>
          <w:rFonts w:ascii="Arial" w:hAnsi="Arial"/>
          <w:sz w:val="20"/>
        </w:rPr>
        <w:t>party may terminate these clauses if (i) any Commission positive adequacy decision under Article 25(6) of Directive 95/46/EC (or any superseding text) is issued in relation to the country (or a sector thereof) to which the data is transferred and processed by the data importer, or (ii) Directive 95/46/EC (or any superseding text) becomes directly applicable in such country.</w:t>
      </w:r>
    </w:p>
    <w:p w14:paraId="2AB20D60" w14:textId="77777777" w:rsidR="0022348A" w:rsidRDefault="0022348A" w:rsidP="0022348A">
      <w:pPr>
        <w:pStyle w:val="ListParagraph"/>
        <w:jc w:val="both"/>
        <w:rPr>
          <w:rFonts w:ascii="Arial" w:hAnsi="Arial"/>
          <w:sz w:val="20"/>
        </w:rPr>
      </w:pPr>
    </w:p>
    <w:p w14:paraId="04CAC9CB" w14:textId="187A54F2" w:rsidR="0022348A" w:rsidRDefault="0022348A" w:rsidP="0022348A">
      <w:pPr>
        <w:pStyle w:val="ListParagraph"/>
        <w:numPr>
          <w:ilvl w:val="0"/>
          <w:numId w:val="14"/>
        </w:numPr>
        <w:jc w:val="both"/>
        <w:rPr>
          <w:rFonts w:ascii="Arial" w:hAnsi="Arial"/>
          <w:sz w:val="20"/>
        </w:rPr>
      </w:pPr>
      <w:r w:rsidRPr="0022348A">
        <w:rPr>
          <w:rFonts w:ascii="Arial" w:hAnsi="Arial"/>
          <w:sz w:val="20"/>
        </w:rPr>
        <w:t xml:space="preserve">The parties agree that the termination of these clauses at any time, in any circumstances and for whatever reason (except for termination under clause VI(c)) does not exempt them from the </w:t>
      </w:r>
      <w:r w:rsidRPr="0022348A">
        <w:rPr>
          <w:rFonts w:ascii="Arial" w:hAnsi="Arial"/>
          <w:sz w:val="20"/>
        </w:rPr>
        <w:lastRenderedPageBreak/>
        <w:t>obligations and/or conditions under the clauses as regards the processing of the personal data transferred.</w:t>
      </w:r>
    </w:p>
    <w:p w14:paraId="034BF3F1" w14:textId="77777777" w:rsidR="0022348A" w:rsidRPr="0022348A" w:rsidRDefault="0022348A" w:rsidP="0022348A">
      <w:pPr>
        <w:jc w:val="both"/>
        <w:rPr>
          <w:rFonts w:ascii="Arial" w:hAnsi="Arial"/>
          <w:sz w:val="20"/>
        </w:rPr>
      </w:pPr>
    </w:p>
    <w:p w14:paraId="70EC2D12" w14:textId="73F7E73F" w:rsidR="0022348A" w:rsidRPr="0022348A" w:rsidRDefault="0022348A" w:rsidP="0022348A">
      <w:pPr>
        <w:pStyle w:val="ListParagraph"/>
        <w:numPr>
          <w:ilvl w:val="0"/>
          <w:numId w:val="6"/>
        </w:numPr>
        <w:ind w:left="360" w:hanging="360"/>
        <w:jc w:val="both"/>
        <w:rPr>
          <w:rFonts w:ascii="Arial" w:hAnsi="Arial"/>
          <w:b/>
          <w:sz w:val="20"/>
        </w:rPr>
      </w:pPr>
      <w:r w:rsidRPr="0022348A">
        <w:rPr>
          <w:rFonts w:ascii="Arial" w:hAnsi="Arial"/>
          <w:b/>
          <w:sz w:val="20"/>
        </w:rPr>
        <w:t>Variation of these clauses</w:t>
      </w:r>
    </w:p>
    <w:p w14:paraId="086F538D" w14:textId="1EA72789" w:rsidR="0022348A" w:rsidRDefault="0022348A" w:rsidP="0022348A">
      <w:pPr>
        <w:jc w:val="both"/>
        <w:rPr>
          <w:rFonts w:ascii="Arial" w:hAnsi="Arial"/>
          <w:sz w:val="20"/>
        </w:rPr>
      </w:pPr>
    </w:p>
    <w:p w14:paraId="0DA466FF" w14:textId="627DFDA4" w:rsidR="0022348A" w:rsidRDefault="0022348A" w:rsidP="0022348A">
      <w:pPr>
        <w:jc w:val="both"/>
        <w:rPr>
          <w:rFonts w:ascii="Arial" w:hAnsi="Arial"/>
          <w:sz w:val="20"/>
        </w:rPr>
      </w:pPr>
      <w:r w:rsidRPr="0022348A">
        <w:rPr>
          <w:rFonts w:ascii="Arial" w:hAnsi="Arial"/>
          <w:sz w:val="20"/>
        </w:rPr>
        <w:t>The parties may not modify these clauses except to update any information in Annex B, in which case they will inform the authority where required. This does not preclude the parties from adding additional commercial clauses where required.</w:t>
      </w:r>
    </w:p>
    <w:p w14:paraId="3E267A3F" w14:textId="77777777" w:rsidR="0022348A" w:rsidRPr="0022348A" w:rsidRDefault="0022348A" w:rsidP="0022348A">
      <w:pPr>
        <w:jc w:val="both"/>
        <w:rPr>
          <w:rFonts w:ascii="Arial" w:hAnsi="Arial"/>
          <w:sz w:val="20"/>
        </w:rPr>
      </w:pPr>
    </w:p>
    <w:p w14:paraId="23B53E9C" w14:textId="31A616BD" w:rsidR="0022348A" w:rsidRPr="0022348A" w:rsidRDefault="0022348A" w:rsidP="0022348A">
      <w:pPr>
        <w:pStyle w:val="ListParagraph"/>
        <w:numPr>
          <w:ilvl w:val="0"/>
          <w:numId w:val="6"/>
        </w:numPr>
        <w:ind w:left="360" w:hanging="360"/>
        <w:jc w:val="both"/>
        <w:rPr>
          <w:rFonts w:ascii="Arial" w:hAnsi="Arial"/>
          <w:b/>
          <w:sz w:val="20"/>
        </w:rPr>
      </w:pPr>
      <w:r w:rsidRPr="0022348A">
        <w:rPr>
          <w:rFonts w:ascii="Arial" w:hAnsi="Arial"/>
          <w:b/>
          <w:sz w:val="20"/>
        </w:rPr>
        <w:t xml:space="preserve">Description of the Transfer </w:t>
      </w:r>
    </w:p>
    <w:p w14:paraId="14F877CC" w14:textId="395CB913" w:rsidR="0022348A" w:rsidRDefault="0022348A" w:rsidP="0022348A">
      <w:pPr>
        <w:jc w:val="both"/>
        <w:rPr>
          <w:rFonts w:ascii="Arial" w:hAnsi="Arial"/>
          <w:sz w:val="20"/>
        </w:rPr>
      </w:pPr>
    </w:p>
    <w:p w14:paraId="3534F2D5" w14:textId="33229682" w:rsidR="0022348A" w:rsidRDefault="0022348A" w:rsidP="0022348A">
      <w:pPr>
        <w:jc w:val="both"/>
        <w:rPr>
          <w:rFonts w:ascii="Arial" w:hAnsi="Arial"/>
          <w:sz w:val="20"/>
        </w:rPr>
      </w:pPr>
      <w:r w:rsidRPr="0022348A">
        <w:rPr>
          <w:rFonts w:ascii="Arial" w:hAnsi="Arial"/>
          <w:sz w:val="20"/>
        </w:rP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authority where required. Annex B may, in the alternative, be drafted to cover multiple transfers.</w:t>
      </w:r>
    </w:p>
    <w:p w14:paraId="50F4C01C" w14:textId="587AC591" w:rsidR="001B4C60" w:rsidRDefault="001B4C60">
      <w:pPr>
        <w:spacing w:after="160" w:line="259" w:lineRule="auto"/>
        <w:rPr>
          <w:rFonts w:ascii="Arial" w:hAnsi="Arial"/>
          <w:sz w:val="20"/>
        </w:rPr>
      </w:pPr>
      <w:r>
        <w:rPr>
          <w:rFonts w:ascii="Arial" w:hAnsi="Arial"/>
          <w:sz w:val="20"/>
        </w:rPr>
        <w:br w:type="page"/>
      </w:r>
    </w:p>
    <w:p w14:paraId="78FA2BE1" w14:textId="2BD4C969" w:rsidR="001B4C60" w:rsidRDefault="001B4C60" w:rsidP="001B4C60">
      <w:pPr>
        <w:jc w:val="center"/>
        <w:rPr>
          <w:rFonts w:ascii="Arial" w:hAnsi="Arial"/>
          <w:b/>
          <w:sz w:val="20"/>
        </w:rPr>
      </w:pPr>
      <w:r w:rsidRPr="001B4C60">
        <w:rPr>
          <w:rFonts w:ascii="Arial" w:hAnsi="Arial"/>
          <w:b/>
          <w:sz w:val="20"/>
        </w:rPr>
        <w:lastRenderedPageBreak/>
        <w:t>ANNEX A</w:t>
      </w:r>
    </w:p>
    <w:p w14:paraId="1D3F9777" w14:textId="2BA26D4C" w:rsidR="001B4C60" w:rsidRDefault="001B4C60" w:rsidP="001B4C60">
      <w:pPr>
        <w:rPr>
          <w:rFonts w:ascii="Arial" w:hAnsi="Arial"/>
          <w:b/>
          <w:sz w:val="20"/>
        </w:rPr>
      </w:pPr>
    </w:p>
    <w:p w14:paraId="4A4CE05A" w14:textId="0A509F27" w:rsidR="001B4C60" w:rsidRDefault="001B4C60" w:rsidP="001B4C60">
      <w:pPr>
        <w:jc w:val="center"/>
        <w:rPr>
          <w:rFonts w:ascii="Arial" w:hAnsi="Arial"/>
          <w:b/>
          <w:sz w:val="20"/>
        </w:rPr>
      </w:pPr>
      <w:r w:rsidRPr="001B4C60">
        <w:rPr>
          <w:rFonts w:ascii="Arial" w:hAnsi="Arial"/>
          <w:b/>
          <w:sz w:val="20"/>
        </w:rPr>
        <w:t>DATA PROCESSING PRINCIPLE</w:t>
      </w:r>
      <w:r>
        <w:rPr>
          <w:rFonts w:ascii="Arial" w:hAnsi="Arial"/>
          <w:b/>
          <w:sz w:val="20"/>
        </w:rPr>
        <w:t>S</w:t>
      </w:r>
    </w:p>
    <w:p w14:paraId="51F65E01" w14:textId="73812719" w:rsidR="001B4C60" w:rsidRPr="001B4C60" w:rsidRDefault="001B4C60" w:rsidP="001B4C60">
      <w:pPr>
        <w:rPr>
          <w:rFonts w:ascii="Arial" w:hAnsi="Arial"/>
          <w:sz w:val="20"/>
        </w:rPr>
      </w:pPr>
    </w:p>
    <w:p w14:paraId="76051CCA" w14:textId="48069C68" w:rsidR="001B4C60" w:rsidRDefault="001B4C60" w:rsidP="001B4C60">
      <w:pPr>
        <w:pStyle w:val="ListParagraph"/>
        <w:numPr>
          <w:ilvl w:val="0"/>
          <w:numId w:val="15"/>
        </w:numPr>
        <w:rPr>
          <w:rFonts w:ascii="Arial" w:hAnsi="Arial"/>
          <w:sz w:val="20"/>
        </w:rPr>
      </w:pPr>
      <w:r w:rsidRPr="001B4C60">
        <w:rPr>
          <w:rFonts w:ascii="Arial" w:hAnsi="Arial"/>
          <w:sz w:val="20"/>
        </w:rPr>
        <w:t>Purpose limitation: Personal data may be processed and subsequently used or further communicated only for purposes described in Annex B or subsequently authorised by the data subject.</w:t>
      </w:r>
    </w:p>
    <w:p w14:paraId="40AB16FA" w14:textId="77777777" w:rsidR="001B4C60" w:rsidRPr="001B4C60" w:rsidRDefault="001B4C60" w:rsidP="001B4C60">
      <w:pPr>
        <w:rPr>
          <w:rFonts w:ascii="Arial" w:hAnsi="Arial"/>
          <w:sz w:val="20"/>
        </w:rPr>
      </w:pPr>
    </w:p>
    <w:p w14:paraId="0C352DFC" w14:textId="49D95385" w:rsidR="001B4C60" w:rsidRPr="001B4C60" w:rsidRDefault="001B4C60" w:rsidP="001B4C60">
      <w:pPr>
        <w:pStyle w:val="ListParagraph"/>
        <w:numPr>
          <w:ilvl w:val="0"/>
          <w:numId w:val="15"/>
        </w:numPr>
        <w:rPr>
          <w:rFonts w:ascii="Arial" w:hAnsi="Arial"/>
          <w:sz w:val="20"/>
        </w:rPr>
      </w:pPr>
      <w:r w:rsidRPr="001B4C60">
        <w:rPr>
          <w:rFonts w:ascii="Arial" w:hAnsi="Arial"/>
          <w:sz w:val="20"/>
        </w:rPr>
        <w:t>Data quality and proportionality: Personal data must be accurate and, where necessary, kept up to date. The personal data must be adequate, relevant and not excessive in relation to the purposes for which they are transferred and further processed.</w:t>
      </w:r>
    </w:p>
    <w:p w14:paraId="6F31D497" w14:textId="77777777" w:rsidR="001B4C60" w:rsidRPr="001B4C60" w:rsidRDefault="001B4C60" w:rsidP="001B4C60">
      <w:pPr>
        <w:rPr>
          <w:rFonts w:ascii="Arial" w:hAnsi="Arial"/>
          <w:sz w:val="20"/>
        </w:rPr>
      </w:pPr>
    </w:p>
    <w:p w14:paraId="328DD45C" w14:textId="77777777" w:rsidR="001B4C60" w:rsidRDefault="001B4C60" w:rsidP="001B4C60">
      <w:pPr>
        <w:pStyle w:val="ListParagraph"/>
        <w:numPr>
          <w:ilvl w:val="0"/>
          <w:numId w:val="15"/>
        </w:numPr>
        <w:rPr>
          <w:rFonts w:ascii="Arial" w:hAnsi="Arial"/>
          <w:sz w:val="20"/>
        </w:rPr>
      </w:pPr>
      <w:r w:rsidRPr="001B4C60">
        <w:rPr>
          <w:rFonts w:ascii="Arial" w:hAnsi="Arial"/>
          <w:sz w:val="20"/>
        </w:rPr>
        <w:t>Transparency: Data subjects must be provided with information necessary to ensure fair processing (such as information about the purposes of processing and about the transfer), unless such information has already been given by the data exporter.</w:t>
      </w:r>
    </w:p>
    <w:p w14:paraId="06188D31" w14:textId="77777777" w:rsidR="001B4C60" w:rsidRPr="001B4C60" w:rsidRDefault="001B4C60" w:rsidP="001B4C60">
      <w:pPr>
        <w:pStyle w:val="ListParagraph"/>
        <w:rPr>
          <w:rFonts w:ascii="Arial" w:hAnsi="Arial"/>
          <w:sz w:val="20"/>
        </w:rPr>
      </w:pPr>
    </w:p>
    <w:p w14:paraId="6AA0F901" w14:textId="4907E83D" w:rsidR="001B4C60" w:rsidRDefault="001B4C60" w:rsidP="001B4C60">
      <w:pPr>
        <w:pStyle w:val="ListParagraph"/>
        <w:numPr>
          <w:ilvl w:val="0"/>
          <w:numId w:val="15"/>
        </w:numPr>
        <w:rPr>
          <w:rFonts w:ascii="Arial" w:hAnsi="Arial"/>
          <w:sz w:val="20"/>
        </w:rPr>
      </w:pPr>
      <w:r w:rsidRPr="001B4C60">
        <w:rPr>
          <w:rFonts w:ascii="Arial" w:hAnsi="Arial"/>
          <w:sz w:val="20"/>
        </w:rP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14:paraId="7E155ED2" w14:textId="77777777" w:rsidR="001B4C60" w:rsidRPr="001B4C60" w:rsidRDefault="001B4C60" w:rsidP="001B4C60">
      <w:pPr>
        <w:pStyle w:val="ListParagraph"/>
        <w:rPr>
          <w:rFonts w:ascii="Arial" w:hAnsi="Arial"/>
          <w:sz w:val="20"/>
        </w:rPr>
      </w:pPr>
    </w:p>
    <w:p w14:paraId="2C0BCA51" w14:textId="77777777" w:rsidR="001B4C60" w:rsidRDefault="001B4C60" w:rsidP="001B4C60">
      <w:pPr>
        <w:pStyle w:val="ListParagraph"/>
        <w:numPr>
          <w:ilvl w:val="0"/>
          <w:numId w:val="15"/>
        </w:numPr>
        <w:rPr>
          <w:rFonts w:ascii="Arial" w:hAnsi="Arial"/>
          <w:sz w:val="20"/>
        </w:rPr>
      </w:pPr>
      <w:r w:rsidRPr="001B4C60">
        <w:rPr>
          <w:rFonts w:ascii="Arial" w:hAnsi="Arial"/>
          <w:sz w:val="20"/>
        </w:rPr>
        <w:t xml:space="preserve">Rights of access, rectification, deletion and objection: As provided in Article 12 of Directive 95/46/EC,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Provided that the authority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w:t>
      </w:r>
      <w:proofErr w:type="gramStart"/>
      <w:r w:rsidRPr="001B4C60">
        <w:rPr>
          <w:rFonts w:ascii="Arial" w:hAnsi="Arial"/>
          <w:sz w:val="20"/>
        </w:rPr>
        <w:t>particular situation</w:t>
      </w:r>
      <w:proofErr w:type="gramEnd"/>
      <w:r w:rsidRPr="001B4C60">
        <w:rPr>
          <w:rFonts w:ascii="Arial" w:hAnsi="Arial"/>
          <w:sz w:val="20"/>
        </w:rPr>
        <w:t>. The burden of proof for any refusal rests on the data importer, and the data subject may always challenge a refusal before the authority.</w:t>
      </w:r>
    </w:p>
    <w:p w14:paraId="2542663A" w14:textId="77777777" w:rsidR="001B4C60" w:rsidRDefault="001B4C60" w:rsidP="001B4C60">
      <w:pPr>
        <w:pStyle w:val="ListParagraph"/>
        <w:rPr>
          <w:rFonts w:ascii="Arial" w:hAnsi="Arial"/>
          <w:sz w:val="20"/>
        </w:rPr>
      </w:pPr>
    </w:p>
    <w:p w14:paraId="68DFA109" w14:textId="77777777" w:rsidR="001B4C60" w:rsidRDefault="001B4C60" w:rsidP="001B4C60">
      <w:pPr>
        <w:pStyle w:val="ListParagraph"/>
        <w:numPr>
          <w:ilvl w:val="0"/>
          <w:numId w:val="15"/>
        </w:numPr>
        <w:rPr>
          <w:rFonts w:ascii="Arial" w:hAnsi="Arial"/>
          <w:sz w:val="20"/>
        </w:rPr>
      </w:pPr>
      <w:r w:rsidRPr="001B4C60">
        <w:rPr>
          <w:rFonts w:ascii="Arial" w:hAnsi="Arial"/>
          <w:sz w:val="20"/>
        </w:rPr>
        <w:t>Sensitive data: The data importer shall take such additional measures (e.g. relating to security) as are necessary to protect such sensitive data in accordance with its obligations under clause II.</w:t>
      </w:r>
    </w:p>
    <w:p w14:paraId="6631B2E1" w14:textId="77777777" w:rsidR="001B4C60" w:rsidRPr="001B4C60" w:rsidRDefault="001B4C60" w:rsidP="001B4C60">
      <w:pPr>
        <w:pStyle w:val="ListParagraph"/>
        <w:rPr>
          <w:rFonts w:ascii="Arial" w:hAnsi="Arial"/>
          <w:sz w:val="20"/>
        </w:rPr>
      </w:pPr>
    </w:p>
    <w:p w14:paraId="304AE86F" w14:textId="1E4FC0B2" w:rsidR="001B4C60" w:rsidRDefault="001B4C60" w:rsidP="001B4C60">
      <w:pPr>
        <w:pStyle w:val="ListParagraph"/>
        <w:numPr>
          <w:ilvl w:val="0"/>
          <w:numId w:val="15"/>
        </w:numPr>
        <w:rPr>
          <w:rFonts w:ascii="Arial" w:hAnsi="Arial"/>
          <w:sz w:val="20"/>
        </w:rPr>
      </w:pPr>
      <w:r w:rsidRPr="001B4C60">
        <w:rPr>
          <w:rFonts w:ascii="Arial" w:hAnsi="Arial"/>
          <w:sz w:val="20"/>
        </w:rPr>
        <w:t>Data used for marketing purposes: Where data are processed for the purposes of direct marketing, effective procedures should exist allowing the data subject at any time to “opt-out” from having his data used for such purposes.</w:t>
      </w:r>
    </w:p>
    <w:p w14:paraId="430B5C8E" w14:textId="77777777" w:rsidR="001B4C60" w:rsidRPr="001B4C60" w:rsidRDefault="001B4C60" w:rsidP="001B4C60">
      <w:pPr>
        <w:pStyle w:val="ListParagraph"/>
        <w:rPr>
          <w:rFonts w:ascii="Arial" w:hAnsi="Arial"/>
          <w:sz w:val="20"/>
        </w:rPr>
      </w:pPr>
    </w:p>
    <w:p w14:paraId="3291C3F8" w14:textId="10885F8F" w:rsidR="001B4C60" w:rsidRPr="001B4C60" w:rsidRDefault="001B4C60" w:rsidP="001B4C60">
      <w:pPr>
        <w:pStyle w:val="ListParagraph"/>
        <w:numPr>
          <w:ilvl w:val="0"/>
          <w:numId w:val="15"/>
        </w:numPr>
        <w:rPr>
          <w:rFonts w:ascii="Arial" w:hAnsi="Arial"/>
          <w:sz w:val="20"/>
        </w:rPr>
      </w:pPr>
      <w:r w:rsidRPr="001B4C60">
        <w:rPr>
          <w:rFonts w:ascii="Arial" w:hAnsi="Arial"/>
          <w:sz w:val="20"/>
        </w:rP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14:paraId="414942BA" w14:textId="77777777" w:rsidR="001B4C60" w:rsidRDefault="001B4C60" w:rsidP="001B4C60">
      <w:pPr>
        <w:pStyle w:val="ListParagraph"/>
        <w:rPr>
          <w:rFonts w:ascii="Arial" w:hAnsi="Arial"/>
          <w:sz w:val="20"/>
        </w:rPr>
      </w:pPr>
    </w:p>
    <w:p w14:paraId="60803FC0" w14:textId="1E01CF5E" w:rsidR="001B4C60" w:rsidRDefault="001B4C60" w:rsidP="001B4C60">
      <w:pPr>
        <w:pStyle w:val="ListParagraph"/>
        <w:numPr>
          <w:ilvl w:val="0"/>
          <w:numId w:val="16"/>
        </w:numPr>
        <w:rPr>
          <w:rFonts w:ascii="Arial" w:hAnsi="Arial"/>
          <w:sz w:val="20"/>
        </w:rPr>
      </w:pPr>
      <w:r>
        <w:rPr>
          <w:rFonts w:ascii="Arial" w:hAnsi="Arial"/>
          <w:sz w:val="20"/>
        </w:rPr>
        <w:lastRenderedPageBreak/>
        <w:t xml:space="preserve">(i) </w:t>
      </w:r>
      <w:r w:rsidRPr="001B4C60">
        <w:rPr>
          <w:rFonts w:ascii="Arial" w:hAnsi="Arial"/>
          <w:sz w:val="20"/>
        </w:rPr>
        <w:t>such decisions are made by the data importer in entering into or performing a contract with the data subject, and</w:t>
      </w:r>
    </w:p>
    <w:p w14:paraId="0C1BD2D3" w14:textId="77777777" w:rsidR="00C63CCB" w:rsidRPr="00C63CCB" w:rsidRDefault="00C63CCB" w:rsidP="00C63CCB">
      <w:pPr>
        <w:pStyle w:val="ListParagraph"/>
        <w:ind w:left="1080"/>
        <w:rPr>
          <w:rFonts w:ascii="Arial" w:hAnsi="Arial"/>
          <w:sz w:val="20"/>
        </w:rPr>
      </w:pPr>
      <w:r w:rsidRPr="001B4C60">
        <w:rPr>
          <w:rFonts w:ascii="Arial" w:hAnsi="Arial"/>
          <w:sz w:val="20"/>
        </w:rPr>
        <w:t>(ii)</w:t>
      </w:r>
      <w:r w:rsidRPr="00C63CCB">
        <w:rPr>
          <w:rFonts w:ascii="Arial" w:hAnsi="Arial"/>
          <w:sz w:val="20"/>
        </w:rPr>
        <w:t>the data subject is given an opportunity to discuss the results of a relevant automated decision with a representative of the parties making such decision or otherwise to make representations to that parties.</w:t>
      </w:r>
    </w:p>
    <w:p w14:paraId="2273983C" w14:textId="77777777" w:rsidR="00C63CCB" w:rsidRPr="00C63CCB" w:rsidRDefault="00C63CCB" w:rsidP="00C63CCB">
      <w:pPr>
        <w:pStyle w:val="ListParagraph"/>
        <w:ind w:left="1080"/>
        <w:rPr>
          <w:rFonts w:ascii="Arial" w:hAnsi="Arial"/>
          <w:sz w:val="20"/>
        </w:rPr>
      </w:pPr>
    </w:p>
    <w:p w14:paraId="47A3F663" w14:textId="4649A767" w:rsidR="00C63CCB" w:rsidRDefault="00C63CCB" w:rsidP="00C63CCB">
      <w:pPr>
        <w:pStyle w:val="ListParagraph"/>
        <w:ind w:left="1080"/>
        <w:rPr>
          <w:rFonts w:ascii="Arial" w:hAnsi="Arial"/>
          <w:sz w:val="20"/>
        </w:rPr>
      </w:pPr>
      <w:r w:rsidRPr="001B4C60">
        <w:rPr>
          <w:rFonts w:ascii="Arial" w:hAnsi="Arial"/>
          <w:sz w:val="20"/>
        </w:rPr>
        <w:t>or</w:t>
      </w:r>
    </w:p>
    <w:p w14:paraId="12A7E5E0" w14:textId="77777777" w:rsidR="00A629E6" w:rsidRPr="001B4C60" w:rsidRDefault="00A629E6" w:rsidP="00C63CCB">
      <w:pPr>
        <w:pStyle w:val="ListParagraph"/>
        <w:ind w:left="1080"/>
        <w:rPr>
          <w:rFonts w:ascii="Arial" w:hAnsi="Arial"/>
          <w:sz w:val="20"/>
        </w:rPr>
      </w:pPr>
    </w:p>
    <w:p w14:paraId="6A79180E" w14:textId="77777777" w:rsidR="00C63CCB" w:rsidRPr="001B4C60" w:rsidRDefault="00C63CCB" w:rsidP="00C63CCB">
      <w:pPr>
        <w:pStyle w:val="ListParagraph"/>
        <w:numPr>
          <w:ilvl w:val="0"/>
          <w:numId w:val="16"/>
        </w:numPr>
        <w:rPr>
          <w:rFonts w:ascii="Arial" w:hAnsi="Arial"/>
          <w:sz w:val="20"/>
        </w:rPr>
      </w:pPr>
      <w:r w:rsidRPr="001B4C60">
        <w:rPr>
          <w:rFonts w:ascii="Arial" w:hAnsi="Arial"/>
          <w:sz w:val="20"/>
        </w:rPr>
        <w:t>where otherwise provided by the law of the data exporter.</w:t>
      </w:r>
    </w:p>
    <w:p w14:paraId="478F0E48" w14:textId="27B3EB56" w:rsidR="002478DA" w:rsidRDefault="002478DA">
      <w:pPr>
        <w:spacing w:after="160" w:line="259" w:lineRule="auto"/>
        <w:rPr>
          <w:rFonts w:ascii="Arial" w:hAnsi="Arial"/>
          <w:sz w:val="20"/>
        </w:rPr>
      </w:pPr>
      <w:r>
        <w:rPr>
          <w:rFonts w:ascii="Arial" w:hAnsi="Arial"/>
          <w:sz w:val="20"/>
        </w:rPr>
        <w:br w:type="page"/>
      </w:r>
    </w:p>
    <w:p w14:paraId="0279726B" w14:textId="77777777" w:rsidR="002478DA" w:rsidRPr="002478DA" w:rsidRDefault="002478DA" w:rsidP="002478DA">
      <w:pPr>
        <w:jc w:val="center"/>
        <w:rPr>
          <w:rFonts w:ascii="Arial" w:hAnsi="Arial"/>
          <w:b/>
          <w:sz w:val="20"/>
        </w:rPr>
      </w:pPr>
      <w:r w:rsidRPr="002478DA">
        <w:rPr>
          <w:rFonts w:ascii="Arial" w:hAnsi="Arial"/>
          <w:b/>
          <w:sz w:val="20"/>
        </w:rPr>
        <w:lastRenderedPageBreak/>
        <w:t>ANNEX B</w:t>
      </w:r>
    </w:p>
    <w:p w14:paraId="082717F7" w14:textId="77777777" w:rsidR="002478DA" w:rsidRPr="002478DA" w:rsidRDefault="002478DA" w:rsidP="002478DA">
      <w:pPr>
        <w:jc w:val="center"/>
        <w:rPr>
          <w:rFonts w:ascii="Arial" w:hAnsi="Arial"/>
          <w:b/>
          <w:sz w:val="20"/>
        </w:rPr>
      </w:pPr>
    </w:p>
    <w:p w14:paraId="3C581497" w14:textId="19A6D82A" w:rsidR="00C63CCB" w:rsidRDefault="002478DA" w:rsidP="002478DA">
      <w:pPr>
        <w:jc w:val="center"/>
        <w:rPr>
          <w:rFonts w:ascii="Arial" w:hAnsi="Arial"/>
          <w:b/>
          <w:sz w:val="20"/>
        </w:rPr>
      </w:pPr>
      <w:r w:rsidRPr="002478DA">
        <w:rPr>
          <w:rFonts w:ascii="Arial" w:hAnsi="Arial"/>
          <w:b/>
          <w:sz w:val="20"/>
        </w:rPr>
        <w:t>DESCRIPTION OF THE TRANSFER</w:t>
      </w:r>
    </w:p>
    <w:p w14:paraId="30BF8904" w14:textId="3EF83C6A" w:rsidR="002478DA" w:rsidRDefault="002478DA" w:rsidP="002478DA">
      <w:pPr>
        <w:rPr>
          <w:rFonts w:ascii="Arial" w:hAnsi="Arial"/>
          <w:b/>
          <w:sz w:val="20"/>
        </w:rPr>
      </w:pPr>
    </w:p>
    <w:p w14:paraId="54327FCE" w14:textId="409A3388" w:rsidR="002478DA" w:rsidRDefault="002478DA" w:rsidP="002478DA">
      <w:pPr>
        <w:rPr>
          <w:rFonts w:ascii="Arial" w:hAnsi="Arial"/>
          <w:b/>
          <w:sz w:val="20"/>
        </w:rPr>
      </w:pPr>
      <w:r>
        <w:rPr>
          <w:rFonts w:ascii="Arial" w:hAnsi="Arial"/>
          <w:b/>
          <w:sz w:val="20"/>
        </w:rPr>
        <w:t>Data Subjects</w:t>
      </w:r>
    </w:p>
    <w:p w14:paraId="533B5823" w14:textId="6DA98B90" w:rsidR="002478DA" w:rsidRDefault="002478DA" w:rsidP="002478DA">
      <w:pPr>
        <w:rPr>
          <w:rFonts w:ascii="Arial" w:hAnsi="Arial"/>
          <w:sz w:val="20"/>
        </w:rPr>
      </w:pPr>
      <w:r>
        <w:rPr>
          <w:rFonts w:ascii="Arial" w:hAnsi="Arial"/>
          <w:sz w:val="20"/>
        </w:rPr>
        <w:t xml:space="preserve">The personal data transferred concern the following category of data subjects: </w:t>
      </w:r>
    </w:p>
    <w:p w14:paraId="1C5C1072" w14:textId="12EFA615" w:rsidR="00CF3CE6" w:rsidRDefault="00CF3CE6" w:rsidP="002478DA">
      <w:pPr>
        <w:rPr>
          <w:rFonts w:ascii="Arial" w:hAnsi="Arial"/>
          <w:sz w:val="20"/>
        </w:rPr>
      </w:pPr>
    </w:p>
    <w:p w14:paraId="0EC31DBE" w14:textId="3936C586" w:rsidR="00CF3CE6" w:rsidRPr="00A267EB" w:rsidRDefault="00CF3CE6" w:rsidP="002478DA">
      <w:pPr>
        <w:rPr>
          <w:rFonts w:ascii="Arial" w:hAnsi="Arial"/>
          <w:b/>
          <w:sz w:val="20"/>
        </w:rPr>
      </w:pPr>
      <w:r>
        <w:rPr>
          <w:rFonts w:ascii="Arial" w:hAnsi="Arial"/>
          <w:b/>
          <w:i/>
          <w:sz w:val="20"/>
        </w:rPr>
        <w:tab/>
      </w:r>
      <w:r w:rsidR="00A267EB">
        <w:rPr>
          <w:rFonts w:ascii="Arial" w:hAnsi="Arial"/>
          <w:b/>
          <w:sz w:val="20"/>
        </w:rPr>
        <w:t>[</w:t>
      </w:r>
      <w:r>
        <w:rPr>
          <w:rFonts w:ascii="Arial" w:hAnsi="Arial"/>
          <w:b/>
          <w:i/>
          <w:sz w:val="20"/>
        </w:rPr>
        <w:t xml:space="preserve">Recipients </w:t>
      </w:r>
      <w:r w:rsidR="00DA02AE">
        <w:rPr>
          <w:rFonts w:ascii="Arial" w:hAnsi="Arial"/>
          <w:b/>
          <w:i/>
          <w:sz w:val="20"/>
        </w:rPr>
        <w:t xml:space="preserve">and other end-users </w:t>
      </w:r>
      <w:r>
        <w:rPr>
          <w:rFonts w:ascii="Arial" w:hAnsi="Arial"/>
          <w:b/>
          <w:i/>
          <w:sz w:val="20"/>
        </w:rPr>
        <w:t>of the Information</w:t>
      </w:r>
      <w:r w:rsidR="00A267EB">
        <w:rPr>
          <w:rFonts w:ascii="Arial" w:hAnsi="Arial"/>
          <w:b/>
          <w:sz w:val="20"/>
        </w:rPr>
        <w:t>]</w:t>
      </w:r>
    </w:p>
    <w:p w14:paraId="1214C9E6" w14:textId="429249BB" w:rsidR="002478DA" w:rsidRDefault="002478DA" w:rsidP="002478DA">
      <w:pPr>
        <w:rPr>
          <w:rFonts w:ascii="Arial" w:hAnsi="Arial"/>
          <w:sz w:val="20"/>
        </w:rPr>
      </w:pPr>
    </w:p>
    <w:p w14:paraId="01236839" w14:textId="5A5A9BE5" w:rsidR="002478DA" w:rsidRPr="002478DA" w:rsidRDefault="002478DA" w:rsidP="002478DA">
      <w:pPr>
        <w:rPr>
          <w:rFonts w:ascii="Arial" w:hAnsi="Arial"/>
          <w:b/>
          <w:sz w:val="20"/>
        </w:rPr>
      </w:pPr>
      <w:r w:rsidRPr="002478DA">
        <w:rPr>
          <w:rFonts w:ascii="Arial" w:hAnsi="Arial"/>
          <w:b/>
          <w:sz w:val="20"/>
        </w:rPr>
        <w:t>Purposes of the transfer(s)</w:t>
      </w:r>
    </w:p>
    <w:p w14:paraId="488AEB8C" w14:textId="05EE25AE" w:rsidR="002478DA" w:rsidRDefault="002478DA" w:rsidP="002478DA">
      <w:pPr>
        <w:rPr>
          <w:rFonts w:ascii="Arial" w:hAnsi="Arial"/>
          <w:sz w:val="20"/>
        </w:rPr>
      </w:pPr>
      <w:r>
        <w:rPr>
          <w:rFonts w:ascii="Arial" w:hAnsi="Arial"/>
          <w:sz w:val="20"/>
        </w:rPr>
        <w:t xml:space="preserve">The transfer is made for the following purposes: </w:t>
      </w:r>
    </w:p>
    <w:p w14:paraId="16E918EC" w14:textId="049148BE" w:rsidR="002478DA" w:rsidRDefault="002478DA" w:rsidP="002478DA">
      <w:pPr>
        <w:rPr>
          <w:rFonts w:ascii="Arial" w:hAnsi="Arial"/>
          <w:b/>
          <w:sz w:val="20"/>
        </w:rPr>
      </w:pPr>
    </w:p>
    <w:p w14:paraId="2C22F366" w14:textId="2EF40D77" w:rsidR="00CF3CE6" w:rsidRPr="00A267EB" w:rsidRDefault="00A267EB" w:rsidP="00CF3CE6">
      <w:pPr>
        <w:ind w:left="720"/>
        <w:rPr>
          <w:rFonts w:ascii="Arial" w:hAnsi="Arial"/>
          <w:b/>
          <w:sz w:val="20"/>
        </w:rPr>
      </w:pPr>
      <w:r>
        <w:rPr>
          <w:rFonts w:ascii="Arial" w:hAnsi="Arial"/>
          <w:b/>
          <w:sz w:val="20"/>
        </w:rPr>
        <w:t>[</w:t>
      </w:r>
      <w:r w:rsidR="00CF3CE6" w:rsidRPr="00CF3CE6">
        <w:rPr>
          <w:rFonts w:ascii="Arial" w:hAnsi="Arial"/>
          <w:b/>
          <w:i/>
          <w:sz w:val="20"/>
        </w:rPr>
        <w:t xml:space="preserve">To </w:t>
      </w:r>
      <w:r w:rsidR="00CF3CE6">
        <w:rPr>
          <w:rFonts w:ascii="Arial" w:hAnsi="Arial"/>
          <w:b/>
          <w:i/>
          <w:sz w:val="20"/>
        </w:rPr>
        <w:t>exercise the parties’ obligations and rights set forth in the Agreement, including, but not limited to, Distributor’s reporting obligations and OTC Markets Group’s audit rights</w:t>
      </w:r>
      <w:r w:rsidR="00DA02AE">
        <w:rPr>
          <w:rFonts w:ascii="Arial" w:hAnsi="Arial"/>
          <w:b/>
          <w:i/>
          <w:sz w:val="20"/>
        </w:rPr>
        <w:t xml:space="preserve"> pursuant to Sections 6 and 7 of the Agreement</w:t>
      </w:r>
      <w:r>
        <w:rPr>
          <w:rFonts w:ascii="Arial" w:hAnsi="Arial"/>
          <w:b/>
          <w:sz w:val="20"/>
        </w:rPr>
        <w:t>]</w:t>
      </w:r>
    </w:p>
    <w:p w14:paraId="7A13AF34" w14:textId="77777777" w:rsidR="00CF3CE6" w:rsidRPr="002478DA" w:rsidRDefault="00CF3CE6" w:rsidP="002478DA">
      <w:pPr>
        <w:rPr>
          <w:rFonts w:ascii="Arial" w:hAnsi="Arial"/>
          <w:b/>
          <w:sz w:val="20"/>
        </w:rPr>
      </w:pPr>
    </w:p>
    <w:p w14:paraId="4DD34DC6" w14:textId="460DAC79" w:rsidR="002478DA" w:rsidRPr="002478DA" w:rsidRDefault="002478DA" w:rsidP="002478DA">
      <w:pPr>
        <w:rPr>
          <w:rFonts w:ascii="Arial" w:hAnsi="Arial"/>
          <w:b/>
          <w:sz w:val="20"/>
        </w:rPr>
      </w:pPr>
      <w:r w:rsidRPr="002478DA">
        <w:rPr>
          <w:rFonts w:ascii="Arial" w:hAnsi="Arial"/>
          <w:b/>
          <w:sz w:val="20"/>
        </w:rPr>
        <w:t>Categories of data</w:t>
      </w:r>
    </w:p>
    <w:p w14:paraId="159E7F84" w14:textId="3E14A19B" w:rsidR="002478DA" w:rsidRDefault="002478DA" w:rsidP="002478DA">
      <w:pPr>
        <w:rPr>
          <w:rFonts w:ascii="Arial" w:hAnsi="Arial"/>
          <w:sz w:val="20"/>
        </w:rPr>
      </w:pPr>
      <w:r>
        <w:rPr>
          <w:rFonts w:ascii="Arial" w:hAnsi="Arial"/>
          <w:sz w:val="20"/>
        </w:rPr>
        <w:t xml:space="preserve">The personal data transferred concern the following categories of data: </w:t>
      </w:r>
    </w:p>
    <w:p w14:paraId="38889053" w14:textId="6943F712" w:rsidR="002478DA" w:rsidRDefault="002478DA" w:rsidP="002478DA">
      <w:pPr>
        <w:rPr>
          <w:rFonts w:ascii="Arial" w:hAnsi="Arial"/>
          <w:sz w:val="20"/>
        </w:rPr>
      </w:pPr>
    </w:p>
    <w:p w14:paraId="6F6A6DD0" w14:textId="72906577" w:rsidR="00695380" w:rsidRPr="00A267EB" w:rsidRDefault="00A267EB" w:rsidP="00CF3CE6">
      <w:pPr>
        <w:ind w:left="720"/>
        <w:rPr>
          <w:rFonts w:ascii="Arial" w:hAnsi="Arial"/>
          <w:b/>
          <w:sz w:val="20"/>
        </w:rPr>
      </w:pPr>
      <w:r>
        <w:rPr>
          <w:rFonts w:ascii="Arial" w:hAnsi="Arial"/>
          <w:b/>
          <w:sz w:val="20"/>
        </w:rPr>
        <w:t>[</w:t>
      </w:r>
      <w:r w:rsidR="00207340">
        <w:rPr>
          <w:rFonts w:ascii="Arial" w:hAnsi="Arial"/>
          <w:b/>
          <w:i/>
          <w:sz w:val="20"/>
        </w:rPr>
        <w:t>N</w:t>
      </w:r>
      <w:r w:rsidR="00CF3CE6">
        <w:rPr>
          <w:rFonts w:ascii="Arial" w:hAnsi="Arial"/>
          <w:b/>
          <w:i/>
          <w:sz w:val="20"/>
        </w:rPr>
        <w:t xml:space="preserve">ames, </w:t>
      </w:r>
      <w:r w:rsidR="003B67F7">
        <w:rPr>
          <w:rFonts w:ascii="Arial" w:hAnsi="Arial"/>
          <w:b/>
          <w:i/>
          <w:sz w:val="20"/>
        </w:rPr>
        <w:t>employers, employer addresses, titles, email addresses, phone numbers, and other information related to an individual end-user</w:t>
      </w:r>
      <w:r w:rsidR="00207340">
        <w:rPr>
          <w:rFonts w:ascii="Arial" w:hAnsi="Arial"/>
          <w:b/>
          <w:i/>
          <w:sz w:val="20"/>
        </w:rPr>
        <w:t xml:space="preserve"> usage</w:t>
      </w:r>
      <w:r w:rsidR="003B67F7">
        <w:rPr>
          <w:rFonts w:ascii="Arial" w:hAnsi="Arial"/>
          <w:b/>
          <w:i/>
          <w:sz w:val="20"/>
        </w:rPr>
        <w:t xml:space="preserve"> </w:t>
      </w:r>
      <w:r w:rsidR="00CF3CE6">
        <w:rPr>
          <w:rFonts w:ascii="Arial" w:hAnsi="Arial"/>
          <w:b/>
          <w:i/>
          <w:sz w:val="20"/>
        </w:rPr>
        <w:t>of the Information</w:t>
      </w:r>
      <w:r>
        <w:rPr>
          <w:rFonts w:ascii="Arial" w:hAnsi="Arial"/>
          <w:b/>
          <w:sz w:val="20"/>
        </w:rPr>
        <w:t>]</w:t>
      </w:r>
    </w:p>
    <w:p w14:paraId="68726704" w14:textId="77777777" w:rsidR="00695380" w:rsidRDefault="00695380" w:rsidP="002478DA">
      <w:pPr>
        <w:rPr>
          <w:rFonts w:ascii="Arial" w:hAnsi="Arial"/>
          <w:sz w:val="20"/>
        </w:rPr>
      </w:pPr>
    </w:p>
    <w:p w14:paraId="588B04E9" w14:textId="1C13298E" w:rsidR="002478DA" w:rsidRPr="002478DA" w:rsidRDefault="002478DA" w:rsidP="002478DA">
      <w:pPr>
        <w:rPr>
          <w:rFonts w:ascii="Arial" w:hAnsi="Arial"/>
          <w:b/>
          <w:sz w:val="20"/>
        </w:rPr>
      </w:pPr>
      <w:r w:rsidRPr="002478DA">
        <w:rPr>
          <w:rFonts w:ascii="Arial" w:hAnsi="Arial"/>
          <w:b/>
          <w:sz w:val="20"/>
        </w:rPr>
        <w:t>Recipients</w:t>
      </w:r>
    </w:p>
    <w:p w14:paraId="262DDF17" w14:textId="1BD7AA32" w:rsidR="002478DA" w:rsidRDefault="002478DA" w:rsidP="002478DA">
      <w:pPr>
        <w:rPr>
          <w:rFonts w:ascii="Arial" w:hAnsi="Arial"/>
          <w:sz w:val="20"/>
        </w:rPr>
      </w:pPr>
      <w:r>
        <w:rPr>
          <w:rFonts w:ascii="Arial" w:hAnsi="Arial"/>
          <w:sz w:val="20"/>
        </w:rPr>
        <w:t xml:space="preserve">The personal data transferred may be disclosed only to the following recipients or categories of recipients: </w:t>
      </w:r>
    </w:p>
    <w:p w14:paraId="3BA8FCDC" w14:textId="5CF95358" w:rsidR="00695380" w:rsidRDefault="00695380" w:rsidP="002478DA">
      <w:pPr>
        <w:rPr>
          <w:rFonts w:ascii="Arial" w:hAnsi="Arial"/>
          <w:sz w:val="20"/>
        </w:rPr>
      </w:pPr>
    </w:p>
    <w:p w14:paraId="63FF457C" w14:textId="147683B7" w:rsidR="00695380" w:rsidRPr="00A267EB" w:rsidRDefault="00A267EB" w:rsidP="00CF3CE6">
      <w:pPr>
        <w:ind w:left="720"/>
        <w:rPr>
          <w:rFonts w:ascii="Arial" w:hAnsi="Arial"/>
          <w:b/>
          <w:sz w:val="20"/>
        </w:rPr>
      </w:pPr>
      <w:r>
        <w:rPr>
          <w:rFonts w:ascii="Arial" w:hAnsi="Arial"/>
          <w:b/>
          <w:sz w:val="20"/>
        </w:rPr>
        <w:t>[</w:t>
      </w:r>
      <w:r w:rsidR="00695380" w:rsidRPr="00CF3CE6">
        <w:rPr>
          <w:rFonts w:ascii="Arial" w:hAnsi="Arial"/>
          <w:b/>
          <w:i/>
          <w:sz w:val="20"/>
        </w:rPr>
        <w:t>OTC Markets Group</w:t>
      </w:r>
      <w:r w:rsidR="00CF3CE6" w:rsidRPr="00CF3CE6">
        <w:rPr>
          <w:rFonts w:ascii="Arial" w:hAnsi="Arial"/>
          <w:b/>
          <w:i/>
          <w:sz w:val="20"/>
        </w:rPr>
        <w:t xml:space="preserve"> personnel and/or auditors </w:t>
      </w:r>
      <w:r w:rsidR="00CF3CE6">
        <w:rPr>
          <w:rFonts w:ascii="Arial" w:hAnsi="Arial"/>
          <w:b/>
          <w:i/>
          <w:sz w:val="20"/>
        </w:rPr>
        <w:t xml:space="preserve">or other third party service providers </w:t>
      </w:r>
      <w:r w:rsidR="00CF3CE6" w:rsidRPr="00CF3CE6">
        <w:rPr>
          <w:rFonts w:ascii="Arial" w:hAnsi="Arial"/>
          <w:b/>
          <w:i/>
          <w:sz w:val="20"/>
        </w:rPr>
        <w:t>of OTC Markets Group’s choice</w:t>
      </w:r>
      <w:r>
        <w:rPr>
          <w:rFonts w:ascii="Arial" w:hAnsi="Arial"/>
          <w:b/>
          <w:sz w:val="20"/>
        </w:rPr>
        <w:t>]</w:t>
      </w:r>
    </w:p>
    <w:p w14:paraId="75209164" w14:textId="7D769FC9" w:rsidR="002478DA" w:rsidRDefault="002478DA" w:rsidP="002478DA">
      <w:pPr>
        <w:rPr>
          <w:rFonts w:ascii="Arial" w:hAnsi="Arial"/>
          <w:sz w:val="20"/>
        </w:rPr>
      </w:pPr>
    </w:p>
    <w:p w14:paraId="4ADCE8F7" w14:textId="42DBF6D2" w:rsidR="002478DA" w:rsidRPr="002478DA" w:rsidRDefault="002478DA" w:rsidP="002478DA">
      <w:pPr>
        <w:rPr>
          <w:rFonts w:ascii="Arial" w:hAnsi="Arial"/>
          <w:b/>
          <w:sz w:val="20"/>
        </w:rPr>
      </w:pPr>
      <w:r w:rsidRPr="002478DA">
        <w:rPr>
          <w:rFonts w:ascii="Arial" w:hAnsi="Arial"/>
          <w:b/>
          <w:sz w:val="20"/>
        </w:rPr>
        <w:t>Sensitive data</w:t>
      </w:r>
    </w:p>
    <w:p w14:paraId="0B98A27F" w14:textId="217B60DE" w:rsidR="002478DA" w:rsidRDefault="002478DA" w:rsidP="002478DA">
      <w:pPr>
        <w:rPr>
          <w:rFonts w:ascii="Arial" w:hAnsi="Arial"/>
          <w:sz w:val="20"/>
        </w:rPr>
      </w:pPr>
      <w:r>
        <w:rPr>
          <w:rFonts w:ascii="Arial" w:hAnsi="Arial"/>
          <w:sz w:val="20"/>
        </w:rPr>
        <w:t xml:space="preserve">The personal data transferred concern the following categories of sensitive data: </w:t>
      </w:r>
    </w:p>
    <w:p w14:paraId="153FE47E" w14:textId="77777777" w:rsidR="00695380" w:rsidRDefault="00695380" w:rsidP="002478DA">
      <w:pPr>
        <w:rPr>
          <w:rFonts w:ascii="Arial" w:hAnsi="Arial"/>
          <w:sz w:val="20"/>
        </w:rPr>
      </w:pPr>
    </w:p>
    <w:p w14:paraId="2FBF4C9F" w14:textId="3B72F78C" w:rsidR="002478DA" w:rsidRPr="00A267EB" w:rsidRDefault="00A267EB" w:rsidP="00CF3CE6">
      <w:pPr>
        <w:ind w:firstLine="720"/>
        <w:rPr>
          <w:rFonts w:ascii="Arial" w:hAnsi="Arial"/>
          <w:b/>
          <w:sz w:val="20"/>
        </w:rPr>
      </w:pPr>
      <w:r>
        <w:rPr>
          <w:rFonts w:ascii="Arial" w:hAnsi="Arial"/>
          <w:b/>
          <w:sz w:val="20"/>
        </w:rPr>
        <w:t>[</w:t>
      </w:r>
      <w:r w:rsidR="002478DA" w:rsidRPr="00CF3CE6">
        <w:rPr>
          <w:rFonts w:ascii="Arial" w:hAnsi="Arial"/>
          <w:b/>
          <w:i/>
          <w:sz w:val="20"/>
        </w:rPr>
        <w:t>N/A</w:t>
      </w:r>
      <w:r>
        <w:rPr>
          <w:rFonts w:ascii="Arial" w:hAnsi="Arial"/>
          <w:b/>
          <w:sz w:val="20"/>
        </w:rPr>
        <w:t>]</w:t>
      </w:r>
    </w:p>
    <w:p w14:paraId="3D55D154" w14:textId="204C5F28" w:rsidR="002478DA" w:rsidRDefault="002478DA" w:rsidP="002478DA">
      <w:pPr>
        <w:rPr>
          <w:rFonts w:ascii="Arial" w:hAnsi="Arial"/>
          <w:sz w:val="20"/>
        </w:rPr>
      </w:pPr>
    </w:p>
    <w:p w14:paraId="2CEB3AA1" w14:textId="4F2D5FF5" w:rsidR="002478DA" w:rsidRDefault="002478DA" w:rsidP="002478DA">
      <w:pPr>
        <w:rPr>
          <w:rFonts w:ascii="Arial" w:hAnsi="Arial"/>
          <w:b/>
          <w:sz w:val="20"/>
        </w:rPr>
      </w:pPr>
      <w:r w:rsidRPr="002478DA">
        <w:rPr>
          <w:rFonts w:ascii="Arial" w:hAnsi="Arial"/>
          <w:b/>
          <w:sz w:val="20"/>
        </w:rPr>
        <w:t>Data protection registration information of data exporter (where applicable)</w:t>
      </w:r>
    </w:p>
    <w:p w14:paraId="1AC71DF6" w14:textId="77777777" w:rsidR="00695380" w:rsidRPr="002478DA" w:rsidRDefault="00695380" w:rsidP="002478DA">
      <w:pPr>
        <w:rPr>
          <w:rFonts w:ascii="Arial" w:hAnsi="Arial"/>
          <w:b/>
          <w:sz w:val="20"/>
        </w:rPr>
      </w:pPr>
    </w:p>
    <w:p w14:paraId="5A0449B0" w14:textId="4F32DE1C" w:rsidR="002478DA" w:rsidRPr="00CF3CE6" w:rsidRDefault="00A267EB" w:rsidP="00CF3CE6">
      <w:pPr>
        <w:ind w:firstLine="720"/>
        <w:rPr>
          <w:rFonts w:ascii="Arial" w:hAnsi="Arial"/>
          <w:b/>
          <w:i/>
          <w:sz w:val="20"/>
        </w:rPr>
      </w:pPr>
      <w:r>
        <w:rPr>
          <w:rFonts w:ascii="Arial" w:hAnsi="Arial"/>
          <w:b/>
          <w:sz w:val="20"/>
        </w:rPr>
        <w:t>[</w:t>
      </w:r>
      <w:r w:rsidR="002478DA" w:rsidRPr="00CF3CE6">
        <w:rPr>
          <w:rFonts w:ascii="Arial" w:hAnsi="Arial"/>
          <w:b/>
          <w:i/>
          <w:sz w:val="20"/>
        </w:rPr>
        <w:t>N/A</w:t>
      </w:r>
      <w:r>
        <w:rPr>
          <w:rFonts w:ascii="Arial" w:hAnsi="Arial"/>
          <w:b/>
          <w:sz w:val="20"/>
        </w:rPr>
        <w:t>]</w:t>
      </w:r>
      <w:r w:rsidR="002478DA" w:rsidRPr="00CF3CE6">
        <w:rPr>
          <w:rFonts w:ascii="Arial" w:hAnsi="Arial"/>
          <w:b/>
          <w:i/>
          <w:sz w:val="20"/>
        </w:rPr>
        <w:t xml:space="preserve"> </w:t>
      </w:r>
    </w:p>
    <w:p w14:paraId="2F1E5D3F" w14:textId="3AEBF408" w:rsidR="002478DA" w:rsidRDefault="002478DA" w:rsidP="002478DA">
      <w:pPr>
        <w:rPr>
          <w:rFonts w:ascii="Arial" w:hAnsi="Arial"/>
          <w:sz w:val="20"/>
        </w:rPr>
      </w:pPr>
    </w:p>
    <w:p w14:paraId="08FDAEF3" w14:textId="63D525AE" w:rsidR="002478DA" w:rsidRDefault="002478DA" w:rsidP="002478DA">
      <w:pPr>
        <w:rPr>
          <w:rFonts w:ascii="Arial" w:hAnsi="Arial"/>
          <w:b/>
          <w:sz w:val="20"/>
        </w:rPr>
      </w:pPr>
      <w:r w:rsidRPr="002478DA">
        <w:rPr>
          <w:rFonts w:ascii="Arial" w:hAnsi="Arial"/>
          <w:b/>
          <w:sz w:val="20"/>
        </w:rPr>
        <w:t xml:space="preserve">Additional useful information (storage limits and other relevant information) </w:t>
      </w:r>
    </w:p>
    <w:p w14:paraId="031370B6" w14:textId="77777777" w:rsidR="00695380" w:rsidRPr="002478DA" w:rsidRDefault="00695380" w:rsidP="002478DA">
      <w:pPr>
        <w:rPr>
          <w:rFonts w:ascii="Arial" w:hAnsi="Arial"/>
          <w:b/>
          <w:sz w:val="20"/>
        </w:rPr>
      </w:pPr>
    </w:p>
    <w:p w14:paraId="63D4B260" w14:textId="77777777" w:rsidR="00A267EB" w:rsidRPr="00CF3CE6" w:rsidRDefault="00A267EB" w:rsidP="00A267EB">
      <w:pPr>
        <w:ind w:firstLine="720"/>
        <w:rPr>
          <w:rFonts w:ascii="Arial" w:hAnsi="Arial"/>
          <w:b/>
          <w:i/>
          <w:sz w:val="20"/>
        </w:rPr>
      </w:pPr>
      <w:r>
        <w:rPr>
          <w:rFonts w:ascii="Arial" w:hAnsi="Arial"/>
          <w:b/>
          <w:sz w:val="20"/>
        </w:rPr>
        <w:t>[</w:t>
      </w:r>
      <w:r w:rsidRPr="00CF3CE6">
        <w:rPr>
          <w:rFonts w:ascii="Arial" w:hAnsi="Arial"/>
          <w:b/>
          <w:i/>
          <w:sz w:val="20"/>
        </w:rPr>
        <w:t>N/A</w:t>
      </w:r>
      <w:r>
        <w:rPr>
          <w:rFonts w:ascii="Arial" w:hAnsi="Arial"/>
          <w:b/>
          <w:sz w:val="20"/>
        </w:rPr>
        <w:t>]</w:t>
      </w:r>
      <w:r w:rsidRPr="00CF3CE6">
        <w:rPr>
          <w:rFonts w:ascii="Arial" w:hAnsi="Arial"/>
          <w:b/>
          <w:i/>
          <w:sz w:val="20"/>
        </w:rPr>
        <w:t xml:space="preserve"> </w:t>
      </w:r>
    </w:p>
    <w:p w14:paraId="76E77B55" w14:textId="439FC851" w:rsidR="002478DA" w:rsidRPr="00CF3CE6" w:rsidRDefault="002478DA" w:rsidP="00A267EB">
      <w:pPr>
        <w:ind w:firstLine="720"/>
        <w:rPr>
          <w:rFonts w:ascii="Arial" w:hAnsi="Arial"/>
          <w:b/>
          <w:i/>
          <w:sz w:val="20"/>
        </w:rPr>
      </w:pPr>
    </w:p>
    <w:sectPr w:rsidR="002478DA" w:rsidRPr="00CF3CE6" w:rsidSect="00012565">
      <w:headerReference w:type="default" r:id="rId11"/>
      <w:footerReference w:type="default" r:id="rId12"/>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4022A" w14:textId="77777777" w:rsidR="00D03BA2" w:rsidRDefault="00D03BA2" w:rsidP="00012565">
      <w:r>
        <w:separator/>
      </w:r>
    </w:p>
  </w:endnote>
  <w:endnote w:type="continuationSeparator" w:id="0">
    <w:p w14:paraId="5F534A5F" w14:textId="77777777" w:rsidR="00D03BA2" w:rsidRDefault="00D03BA2" w:rsidP="0001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90366344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19BE3429" w14:textId="3751AD32" w:rsidR="00012565" w:rsidRPr="00012565" w:rsidRDefault="00A629E6" w:rsidP="00A629E6">
            <w:pPr>
              <w:pStyle w:val="Footer"/>
              <w:rPr>
                <w:rFonts w:ascii="Arial" w:hAnsi="Arial" w:cs="Arial"/>
                <w:sz w:val="16"/>
                <w:szCs w:val="16"/>
              </w:rPr>
            </w:pPr>
            <w:r>
              <w:rPr>
                <w:rFonts w:ascii="Arial" w:hAnsi="Arial" w:cs="Arial"/>
                <w:sz w:val="16"/>
                <w:szCs w:val="16"/>
              </w:rPr>
              <w:t xml:space="preserve">OTC Markets Group Inc. </w:t>
            </w:r>
            <w:r>
              <w:rPr>
                <w:rFonts w:ascii="Arial" w:hAnsi="Arial" w:cs="Arial"/>
                <w:sz w:val="16"/>
                <w:szCs w:val="16"/>
              </w:rPr>
              <w:tab/>
            </w:r>
            <w:r>
              <w:rPr>
                <w:rFonts w:ascii="Arial" w:hAnsi="Arial" w:cs="Arial"/>
                <w:sz w:val="16"/>
                <w:szCs w:val="16"/>
              </w:rPr>
              <w:tab/>
            </w:r>
            <w:r w:rsidR="00012565" w:rsidRPr="00012565">
              <w:rPr>
                <w:rFonts w:ascii="Arial" w:hAnsi="Arial" w:cs="Arial"/>
                <w:sz w:val="16"/>
                <w:szCs w:val="16"/>
              </w:rPr>
              <w:t xml:space="preserve">Page </w:t>
            </w:r>
            <w:r w:rsidR="00012565" w:rsidRPr="00012565">
              <w:rPr>
                <w:rFonts w:ascii="Arial" w:hAnsi="Arial" w:cs="Arial"/>
                <w:bCs/>
                <w:sz w:val="16"/>
                <w:szCs w:val="16"/>
              </w:rPr>
              <w:fldChar w:fldCharType="begin"/>
            </w:r>
            <w:r w:rsidR="00012565" w:rsidRPr="00012565">
              <w:rPr>
                <w:rFonts w:ascii="Arial" w:hAnsi="Arial" w:cs="Arial"/>
                <w:bCs/>
                <w:sz w:val="16"/>
                <w:szCs w:val="16"/>
              </w:rPr>
              <w:instrText xml:space="preserve"> PAGE </w:instrText>
            </w:r>
            <w:r w:rsidR="00012565" w:rsidRPr="00012565">
              <w:rPr>
                <w:rFonts w:ascii="Arial" w:hAnsi="Arial" w:cs="Arial"/>
                <w:bCs/>
                <w:sz w:val="16"/>
                <w:szCs w:val="16"/>
              </w:rPr>
              <w:fldChar w:fldCharType="separate"/>
            </w:r>
            <w:r w:rsidR="00012565" w:rsidRPr="00012565">
              <w:rPr>
                <w:rFonts w:ascii="Arial" w:hAnsi="Arial" w:cs="Arial"/>
                <w:bCs/>
                <w:noProof/>
                <w:sz w:val="16"/>
                <w:szCs w:val="16"/>
              </w:rPr>
              <w:t>2</w:t>
            </w:r>
            <w:r w:rsidR="00012565" w:rsidRPr="00012565">
              <w:rPr>
                <w:rFonts w:ascii="Arial" w:hAnsi="Arial" w:cs="Arial"/>
                <w:bCs/>
                <w:sz w:val="16"/>
                <w:szCs w:val="16"/>
              </w:rPr>
              <w:fldChar w:fldCharType="end"/>
            </w:r>
            <w:r w:rsidR="00012565" w:rsidRPr="00012565">
              <w:rPr>
                <w:rFonts w:ascii="Arial" w:hAnsi="Arial" w:cs="Arial"/>
                <w:sz w:val="16"/>
                <w:szCs w:val="16"/>
              </w:rPr>
              <w:t xml:space="preserve"> of </w:t>
            </w:r>
            <w:r w:rsidR="00012565" w:rsidRPr="00012565">
              <w:rPr>
                <w:rFonts w:ascii="Arial" w:hAnsi="Arial" w:cs="Arial"/>
                <w:bCs/>
                <w:sz w:val="16"/>
                <w:szCs w:val="16"/>
              </w:rPr>
              <w:fldChar w:fldCharType="begin"/>
            </w:r>
            <w:r w:rsidR="00012565" w:rsidRPr="00012565">
              <w:rPr>
                <w:rFonts w:ascii="Arial" w:hAnsi="Arial" w:cs="Arial"/>
                <w:bCs/>
                <w:sz w:val="16"/>
                <w:szCs w:val="16"/>
              </w:rPr>
              <w:instrText xml:space="preserve"> NUMPAGES  </w:instrText>
            </w:r>
            <w:r w:rsidR="00012565" w:rsidRPr="00012565">
              <w:rPr>
                <w:rFonts w:ascii="Arial" w:hAnsi="Arial" w:cs="Arial"/>
                <w:bCs/>
                <w:sz w:val="16"/>
                <w:szCs w:val="16"/>
              </w:rPr>
              <w:fldChar w:fldCharType="separate"/>
            </w:r>
            <w:r w:rsidR="00012565" w:rsidRPr="00012565">
              <w:rPr>
                <w:rFonts w:ascii="Arial" w:hAnsi="Arial" w:cs="Arial"/>
                <w:bCs/>
                <w:noProof/>
                <w:sz w:val="16"/>
                <w:szCs w:val="16"/>
              </w:rPr>
              <w:t>2</w:t>
            </w:r>
            <w:r w:rsidR="00012565" w:rsidRPr="00012565">
              <w:rPr>
                <w:rFonts w:ascii="Arial" w:hAnsi="Arial" w:cs="Arial"/>
                <w:bCs/>
                <w:sz w:val="16"/>
                <w:szCs w:val="16"/>
              </w:rPr>
              <w:fldChar w:fldCharType="end"/>
            </w:r>
          </w:p>
        </w:sdtContent>
      </w:sdt>
    </w:sdtContent>
  </w:sdt>
  <w:p w14:paraId="289279E2" w14:textId="18659EDD" w:rsidR="00012565" w:rsidRPr="00012565" w:rsidRDefault="00A629E6">
    <w:pPr>
      <w:pStyle w:val="Footer"/>
      <w:rPr>
        <w:rFonts w:ascii="Arial" w:hAnsi="Arial" w:cs="Arial"/>
        <w:sz w:val="16"/>
        <w:szCs w:val="16"/>
      </w:rPr>
    </w:pPr>
    <w:r>
      <w:rPr>
        <w:rFonts w:ascii="Arial" w:hAnsi="Arial" w:cs="Arial"/>
        <w:sz w:val="16"/>
        <w:szCs w:val="16"/>
      </w:rPr>
      <w:t>Market Data Distribution Agreement – Data Processing Addendum (January 1,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0E480" w14:textId="77777777" w:rsidR="00D03BA2" w:rsidRDefault="00D03BA2" w:rsidP="00012565">
      <w:r>
        <w:separator/>
      </w:r>
    </w:p>
  </w:footnote>
  <w:footnote w:type="continuationSeparator" w:id="0">
    <w:p w14:paraId="02A8881D" w14:textId="77777777" w:rsidR="00D03BA2" w:rsidRDefault="00D03BA2" w:rsidP="00012565">
      <w:r>
        <w:continuationSeparator/>
      </w:r>
    </w:p>
  </w:footnote>
  <w:footnote w:id="1">
    <w:p w14:paraId="7DF8209D" w14:textId="3AEF77BD" w:rsidR="00E552A3" w:rsidRDefault="00E552A3">
      <w:pPr>
        <w:pStyle w:val="FootnoteText"/>
        <w:rPr>
          <w:rFonts w:ascii="Arial" w:hAnsi="Arial" w:cs="Arial"/>
          <w:color w:val="000000"/>
          <w:sz w:val="16"/>
          <w:szCs w:val="16"/>
          <w:shd w:val="clear" w:color="auto" w:fill="FFFFFF"/>
        </w:rPr>
      </w:pPr>
      <w:r w:rsidRPr="00E552A3">
        <w:rPr>
          <w:rStyle w:val="FootnoteReference"/>
          <w:rFonts w:ascii="Arial" w:hAnsi="Arial" w:cs="Arial"/>
          <w:sz w:val="16"/>
          <w:szCs w:val="16"/>
        </w:rPr>
        <w:footnoteRef/>
      </w:r>
      <w:r w:rsidRPr="00E552A3">
        <w:rPr>
          <w:rFonts w:ascii="Arial" w:hAnsi="Arial" w:cs="Arial"/>
          <w:sz w:val="16"/>
          <w:szCs w:val="16"/>
        </w:rPr>
        <w:t xml:space="preserve"> </w:t>
      </w:r>
      <w:r w:rsidRPr="00E552A3">
        <w:rPr>
          <w:rFonts w:ascii="Arial" w:hAnsi="Arial" w:cs="Arial"/>
          <w:color w:val="000000"/>
          <w:sz w:val="16"/>
          <w:szCs w:val="16"/>
          <w:shd w:val="clear" w:color="auto" w:fill="FFFFFF"/>
        </w:rPr>
        <w:t>“Relevant provisions” means those provisions of any authorisation or decision except for the enforcement provisions of any authorisation or decision (which shall be governed by these clauses).</w:t>
      </w:r>
    </w:p>
    <w:p w14:paraId="0FD16B66" w14:textId="77777777" w:rsidR="00A629E6" w:rsidRPr="00E552A3" w:rsidRDefault="00A629E6">
      <w:pPr>
        <w:pStyle w:val="FootnoteText"/>
        <w:rPr>
          <w:rFonts w:ascii="Arial" w:hAnsi="Arial" w:cs="Arial"/>
          <w:sz w:val="16"/>
          <w:szCs w:val="16"/>
        </w:rPr>
      </w:pPr>
    </w:p>
  </w:footnote>
  <w:footnote w:id="2">
    <w:p w14:paraId="2BCB8F6D" w14:textId="34E23481" w:rsidR="00E552A3" w:rsidRPr="00E552A3" w:rsidRDefault="00E552A3">
      <w:pPr>
        <w:pStyle w:val="FootnoteText"/>
        <w:rPr>
          <w:rFonts w:ascii="Arial" w:hAnsi="Arial" w:cs="Arial"/>
          <w:sz w:val="16"/>
          <w:szCs w:val="16"/>
        </w:rPr>
      </w:pPr>
      <w:r w:rsidRPr="00E552A3">
        <w:rPr>
          <w:rStyle w:val="FootnoteReference"/>
          <w:rFonts w:ascii="Arial" w:hAnsi="Arial" w:cs="Arial"/>
          <w:sz w:val="16"/>
          <w:szCs w:val="16"/>
        </w:rPr>
        <w:footnoteRef/>
      </w:r>
      <w:r w:rsidRPr="00E552A3">
        <w:rPr>
          <w:rFonts w:ascii="Arial" w:hAnsi="Arial" w:cs="Arial"/>
          <w:sz w:val="16"/>
          <w:szCs w:val="16"/>
        </w:rPr>
        <w:t xml:space="preserve"> However, the provisions of Annex A.5 concerning rights of access, rectification, deletion and objection must be applied when this option is chosen and take precedence over any comparable provisions of the Commission Decision selected.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5786C" w14:textId="512EBE66" w:rsidR="00012565" w:rsidRPr="00012565" w:rsidRDefault="00012565" w:rsidP="00012565">
    <w:pPr>
      <w:pStyle w:val="Header"/>
      <w:ind w:left="-990"/>
    </w:pPr>
    <w:r w:rsidRPr="000B1C01">
      <w:rPr>
        <w:noProof/>
        <w:sz w:val="20"/>
      </w:rPr>
      <w:drawing>
        <wp:inline distT="0" distB="0" distL="0" distR="0" wp14:anchorId="094B3184" wp14:editId="3F5357E6">
          <wp:extent cx="2066925" cy="285750"/>
          <wp:effectExtent l="0" t="0" r="9525" b="0"/>
          <wp:docPr id="5" name="Picture 5" descr="OTC_Market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C_Markets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4812"/>
    <w:multiLevelType w:val="hybridMultilevel"/>
    <w:tmpl w:val="52527D9A"/>
    <w:lvl w:ilvl="0" w:tplc="4D506DB2">
      <w:start w:val="1"/>
      <w:numFmt w:val="lowerLetter"/>
      <w:lvlText w:val="(%1)"/>
      <w:lvlJc w:val="left"/>
      <w:pPr>
        <w:ind w:left="720" w:hanging="360"/>
      </w:pPr>
      <w:rPr>
        <w:rFonts w:hint="default"/>
      </w:rPr>
    </w:lvl>
    <w:lvl w:ilvl="1" w:tplc="2C88D026">
      <w:start w:val="5"/>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D7106"/>
    <w:multiLevelType w:val="hybridMultilevel"/>
    <w:tmpl w:val="B5B2E91C"/>
    <w:lvl w:ilvl="0" w:tplc="51B872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E3F30"/>
    <w:multiLevelType w:val="hybridMultilevel"/>
    <w:tmpl w:val="4BD21FD8"/>
    <w:lvl w:ilvl="0" w:tplc="8826A3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53872"/>
    <w:multiLevelType w:val="hybridMultilevel"/>
    <w:tmpl w:val="811A2A46"/>
    <w:lvl w:ilvl="0" w:tplc="4D506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1C04F0"/>
    <w:multiLevelType w:val="hybridMultilevel"/>
    <w:tmpl w:val="8C10C6EA"/>
    <w:lvl w:ilvl="0" w:tplc="4D506D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864A4"/>
    <w:multiLevelType w:val="hybridMultilevel"/>
    <w:tmpl w:val="C974ECB4"/>
    <w:lvl w:ilvl="0" w:tplc="C0BAA89A">
      <w:start w:val="1"/>
      <w:numFmt w:val="decimal"/>
      <w:lvlText w:val="%1."/>
      <w:lvlJc w:val="left"/>
      <w:pPr>
        <w:tabs>
          <w:tab w:val="num" w:pos="360"/>
        </w:tabs>
        <w:ind w:left="0" w:firstLine="0"/>
      </w:pPr>
      <w:rPr>
        <w:rFonts w:hint="default"/>
        <w:b/>
      </w:rPr>
    </w:lvl>
    <w:lvl w:ilvl="1" w:tplc="29760472">
      <w:start w:val="1"/>
      <w:numFmt w:val="lowerRoman"/>
      <w:lvlText w:val="(%2)"/>
      <w:lvlJc w:val="left"/>
      <w:pPr>
        <w:tabs>
          <w:tab w:val="num" w:pos="1170"/>
        </w:tabs>
        <w:ind w:left="90" w:firstLine="72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9B5F47"/>
    <w:multiLevelType w:val="hybridMultilevel"/>
    <w:tmpl w:val="6EE0008E"/>
    <w:lvl w:ilvl="0" w:tplc="4D506D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C1188"/>
    <w:multiLevelType w:val="hybridMultilevel"/>
    <w:tmpl w:val="9C94756E"/>
    <w:lvl w:ilvl="0" w:tplc="4D506D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907A0"/>
    <w:multiLevelType w:val="hybridMultilevel"/>
    <w:tmpl w:val="F54C1BD0"/>
    <w:lvl w:ilvl="0" w:tplc="4D506DB2">
      <w:start w:val="1"/>
      <w:numFmt w:val="lowerLetter"/>
      <w:lvlText w:val="(%1)"/>
      <w:lvlJc w:val="left"/>
      <w:pPr>
        <w:ind w:left="720" w:hanging="360"/>
      </w:pPr>
      <w:rPr>
        <w:rFonts w:hint="default"/>
      </w:rPr>
    </w:lvl>
    <w:lvl w:ilvl="1" w:tplc="7846761A">
      <w:start w:val="1"/>
      <w:numFmt w:val="lowerRoman"/>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001A1"/>
    <w:multiLevelType w:val="hybridMultilevel"/>
    <w:tmpl w:val="8A7E88A8"/>
    <w:lvl w:ilvl="0" w:tplc="8DF8EF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51BC3"/>
    <w:multiLevelType w:val="hybridMultilevel"/>
    <w:tmpl w:val="63E818F4"/>
    <w:lvl w:ilvl="0" w:tplc="FB72E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5058D"/>
    <w:multiLevelType w:val="hybridMultilevel"/>
    <w:tmpl w:val="58AC1C14"/>
    <w:lvl w:ilvl="0" w:tplc="F04AC6BC">
      <w:start w:val="1"/>
      <w:numFmt w:val="lowerRoman"/>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03F5C"/>
    <w:multiLevelType w:val="hybridMultilevel"/>
    <w:tmpl w:val="39A4C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B7229"/>
    <w:multiLevelType w:val="hybridMultilevel"/>
    <w:tmpl w:val="F10857C8"/>
    <w:lvl w:ilvl="0" w:tplc="667071A2">
      <w:start w:val="1"/>
      <w:numFmt w:val="decimal"/>
      <w:lvlText w:val="%1."/>
      <w:lvlJc w:val="left"/>
      <w:pPr>
        <w:tabs>
          <w:tab w:val="num" w:pos="360"/>
        </w:tabs>
        <w:ind w:left="0" w:firstLine="0"/>
      </w:pPr>
      <w:rPr>
        <w:b/>
      </w:rPr>
    </w:lvl>
    <w:lvl w:ilvl="1" w:tplc="C492A530">
      <w:start w:val="1"/>
      <w:numFmt w:val="lowerLetter"/>
      <w:lvlText w:val="%2."/>
      <w:lvlJc w:val="left"/>
      <w:pPr>
        <w:ind w:left="720" w:hanging="360"/>
      </w:pPr>
      <w:rPr>
        <w:b w:val="0"/>
      </w:rPr>
    </w:lvl>
    <w:lvl w:ilvl="2" w:tplc="667071A2">
      <w:start w:val="1"/>
      <w:numFmt w:val="decimal"/>
      <w:lvlText w:val="%3."/>
      <w:lvlJc w:val="left"/>
      <w:pPr>
        <w:tabs>
          <w:tab w:val="num" w:pos="2340"/>
        </w:tabs>
        <w:ind w:left="1980" w:firstLine="0"/>
      </w:pPr>
      <w:rPr>
        <w:b/>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4" w15:restartNumberingAfterBreak="0">
    <w:nsid w:val="7DB731DA"/>
    <w:multiLevelType w:val="hybridMultilevel"/>
    <w:tmpl w:val="8F0EA3AA"/>
    <w:lvl w:ilvl="0" w:tplc="24DA4A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AA7CAF"/>
    <w:multiLevelType w:val="hybridMultilevel"/>
    <w:tmpl w:val="52527D9A"/>
    <w:lvl w:ilvl="0" w:tplc="4D506DB2">
      <w:start w:val="1"/>
      <w:numFmt w:val="lowerLetter"/>
      <w:lvlText w:val="(%1)"/>
      <w:lvlJc w:val="left"/>
      <w:pPr>
        <w:ind w:left="720" w:hanging="360"/>
      </w:pPr>
      <w:rPr>
        <w:rFonts w:hint="default"/>
      </w:rPr>
    </w:lvl>
    <w:lvl w:ilvl="1" w:tplc="2C88D026">
      <w:start w:val="5"/>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2"/>
  </w:num>
  <w:num w:numId="6">
    <w:abstractNumId w:val="1"/>
  </w:num>
  <w:num w:numId="7">
    <w:abstractNumId w:val="2"/>
  </w:num>
  <w:num w:numId="8">
    <w:abstractNumId w:val="0"/>
  </w:num>
  <w:num w:numId="9">
    <w:abstractNumId w:val="15"/>
  </w:num>
  <w:num w:numId="10">
    <w:abstractNumId w:val="11"/>
  </w:num>
  <w:num w:numId="11">
    <w:abstractNumId w:val="4"/>
  </w:num>
  <w:num w:numId="12">
    <w:abstractNumId w:val="7"/>
  </w:num>
  <w:num w:numId="13">
    <w:abstractNumId w:val="6"/>
  </w:num>
  <w:num w:numId="14">
    <w:abstractNumId w:val="8"/>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JABobQZmN3jyMAJz4j0UM7IRBvkBIwIEq3uj3bX1qwKCWLsXa/pi9yq/D/tyUMEcDJfoQl2l9QaZH40M+rzqQ==" w:salt="oE2tt4uU+5lCElm7MlZRS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65"/>
    <w:rsid w:val="00012565"/>
    <w:rsid w:val="00160E71"/>
    <w:rsid w:val="001A39C0"/>
    <w:rsid w:val="001B4C60"/>
    <w:rsid w:val="001E3C56"/>
    <w:rsid w:val="00207340"/>
    <w:rsid w:val="0022348A"/>
    <w:rsid w:val="0022778E"/>
    <w:rsid w:val="002478DA"/>
    <w:rsid w:val="003B2602"/>
    <w:rsid w:val="003B67F7"/>
    <w:rsid w:val="00441081"/>
    <w:rsid w:val="0049529A"/>
    <w:rsid w:val="004C5DA0"/>
    <w:rsid w:val="005C58A9"/>
    <w:rsid w:val="00621305"/>
    <w:rsid w:val="00693E37"/>
    <w:rsid w:val="00695380"/>
    <w:rsid w:val="006E79CD"/>
    <w:rsid w:val="00726CC3"/>
    <w:rsid w:val="00823112"/>
    <w:rsid w:val="0084093A"/>
    <w:rsid w:val="00843B21"/>
    <w:rsid w:val="00893220"/>
    <w:rsid w:val="00930083"/>
    <w:rsid w:val="00943DE0"/>
    <w:rsid w:val="00957D49"/>
    <w:rsid w:val="00982241"/>
    <w:rsid w:val="009A1E98"/>
    <w:rsid w:val="009A417B"/>
    <w:rsid w:val="009B1C77"/>
    <w:rsid w:val="00A267EB"/>
    <w:rsid w:val="00A629E6"/>
    <w:rsid w:val="00A749B6"/>
    <w:rsid w:val="00AB1857"/>
    <w:rsid w:val="00B60B6D"/>
    <w:rsid w:val="00B94673"/>
    <w:rsid w:val="00BE27AA"/>
    <w:rsid w:val="00C26779"/>
    <w:rsid w:val="00C63CCB"/>
    <w:rsid w:val="00CB441B"/>
    <w:rsid w:val="00CF3CE6"/>
    <w:rsid w:val="00D03BA2"/>
    <w:rsid w:val="00D118FB"/>
    <w:rsid w:val="00D370C6"/>
    <w:rsid w:val="00D66447"/>
    <w:rsid w:val="00DA02AE"/>
    <w:rsid w:val="00E4651F"/>
    <w:rsid w:val="00E538F4"/>
    <w:rsid w:val="00E552A3"/>
    <w:rsid w:val="00F51F0B"/>
    <w:rsid w:val="00F610F4"/>
    <w:rsid w:val="00FD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EDC7F"/>
  <w15:chartTrackingRefBased/>
  <w15:docId w15:val="{51DC2ED5-6BF6-44A4-8B61-106E780E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565"/>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F610F4"/>
    <w:pPr>
      <w:keepNext/>
      <w:spacing w:before="240" w:after="60"/>
      <w:outlineLvl w:val="2"/>
    </w:pPr>
    <w:rPr>
      <w:rFonts w:ascii="Optima" w:hAnsi="Optim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12565"/>
    <w:pPr>
      <w:tabs>
        <w:tab w:val="left" w:pos="-720"/>
      </w:tabs>
      <w:spacing w:after="240"/>
      <w:jc w:val="both"/>
    </w:pPr>
    <w:rPr>
      <w:sz w:val="22"/>
      <w:lang w:val="x-none" w:eastAsia="x-none"/>
    </w:rPr>
  </w:style>
  <w:style w:type="character" w:customStyle="1" w:styleId="BodyTextChar">
    <w:name w:val="Body Text Char"/>
    <w:basedOn w:val="DefaultParagraphFont"/>
    <w:link w:val="BodyText"/>
    <w:uiPriority w:val="99"/>
    <w:rsid w:val="00012565"/>
    <w:rPr>
      <w:rFonts w:ascii="Times New Roman" w:eastAsia="Times New Roman" w:hAnsi="Times New Roman" w:cs="Times New Roman"/>
      <w:szCs w:val="20"/>
      <w:lang w:val="x-none" w:eastAsia="x-none"/>
    </w:rPr>
  </w:style>
  <w:style w:type="paragraph" w:styleId="BodyText2">
    <w:name w:val="Body Text 2"/>
    <w:basedOn w:val="Normal"/>
    <w:link w:val="BodyText2Char"/>
    <w:uiPriority w:val="99"/>
    <w:rsid w:val="00012565"/>
    <w:pPr>
      <w:tabs>
        <w:tab w:val="left" w:pos="-720"/>
      </w:tabs>
      <w:spacing w:after="240"/>
    </w:pPr>
    <w:rPr>
      <w:sz w:val="22"/>
      <w:lang w:val="x-none" w:eastAsia="x-none"/>
    </w:rPr>
  </w:style>
  <w:style w:type="character" w:customStyle="1" w:styleId="BodyText2Char">
    <w:name w:val="Body Text 2 Char"/>
    <w:basedOn w:val="DefaultParagraphFont"/>
    <w:link w:val="BodyText2"/>
    <w:uiPriority w:val="99"/>
    <w:rsid w:val="00012565"/>
    <w:rPr>
      <w:rFonts w:ascii="Times New Roman" w:eastAsia="Times New Roman" w:hAnsi="Times New Roman" w:cs="Times New Roman"/>
      <w:szCs w:val="20"/>
      <w:lang w:val="x-none" w:eastAsia="x-none"/>
    </w:rPr>
  </w:style>
  <w:style w:type="paragraph" w:styleId="Header">
    <w:name w:val="header"/>
    <w:basedOn w:val="Normal"/>
    <w:link w:val="HeaderChar"/>
    <w:uiPriority w:val="99"/>
    <w:unhideWhenUsed/>
    <w:rsid w:val="00012565"/>
    <w:pPr>
      <w:tabs>
        <w:tab w:val="center" w:pos="4680"/>
        <w:tab w:val="right" w:pos="9360"/>
      </w:tabs>
    </w:pPr>
  </w:style>
  <w:style w:type="character" w:customStyle="1" w:styleId="HeaderChar">
    <w:name w:val="Header Char"/>
    <w:basedOn w:val="DefaultParagraphFont"/>
    <w:link w:val="Header"/>
    <w:uiPriority w:val="99"/>
    <w:rsid w:val="0001256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2565"/>
    <w:pPr>
      <w:tabs>
        <w:tab w:val="center" w:pos="4680"/>
        <w:tab w:val="right" w:pos="9360"/>
      </w:tabs>
    </w:pPr>
  </w:style>
  <w:style w:type="character" w:customStyle="1" w:styleId="FooterChar">
    <w:name w:val="Footer Char"/>
    <w:basedOn w:val="DefaultParagraphFont"/>
    <w:link w:val="Footer"/>
    <w:uiPriority w:val="99"/>
    <w:rsid w:val="00012565"/>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F610F4"/>
    <w:rPr>
      <w:rFonts w:ascii="Optima" w:eastAsia="Times New Roman" w:hAnsi="Optima" w:cs="Times New Roman"/>
      <w:i/>
      <w:sz w:val="24"/>
      <w:szCs w:val="20"/>
    </w:rPr>
  </w:style>
  <w:style w:type="paragraph" w:styleId="Title">
    <w:name w:val="Title"/>
    <w:basedOn w:val="Normal"/>
    <w:link w:val="TitleChar"/>
    <w:qFormat/>
    <w:rsid w:val="009A417B"/>
    <w:pPr>
      <w:jc w:val="center"/>
    </w:pPr>
    <w:rPr>
      <w:rFonts w:ascii="Arial" w:eastAsia="Times" w:hAnsi="Arial"/>
      <w:b/>
      <w:sz w:val="20"/>
    </w:rPr>
  </w:style>
  <w:style w:type="character" w:customStyle="1" w:styleId="TitleChar">
    <w:name w:val="Title Char"/>
    <w:basedOn w:val="DefaultParagraphFont"/>
    <w:link w:val="Title"/>
    <w:rsid w:val="009A417B"/>
    <w:rPr>
      <w:rFonts w:ascii="Arial" w:eastAsia="Times" w:hAnsi="Arial" w:cs="Times New Roman"/>
      <w:b/>
      <w:sz w:val="20"/>
      <w:szCs w:val="20"/>
    </w:rPr>
  </w:style>
  <w:style w:type="paragraph" w:styleId="ListParagraph">
    <w:name w:val="List Paragraph"/>
    <w:basedOn w:val="Normal"/>
    <w:uiPriority w:val="34"/>
    <w:qFormat/>
    <w:rsid w:val="00726CC3"/>
    <w:pPr>
      <w:ind w:left="720"/>
      <w:contextualSpacing/>
    </w:pPr>
  </w:style>
  <w:style w:type="paragraph" w:styleId="FootnoteText">
    <w:name w:val="footnote text"/>
    <w:basedOn w:val="Normal"/>
    <w:link w:val="FootnoteTextChar"/>
    <w:uiPriority w:val="99"/>
    <w:semiHidden/>
    <w:unhideWhenUsed/>
    <w:rsid w:val="00E552A3"/>
    <w:rPr>
      <w:sz w:val="20"/>
    </w:rPr>
  </w:style>
  <w:style w:type="character" w:customStyle="1" w:styleId="FootnoteTextChar">
    <w:name w:val="Footnote Text Char"/>
    <w:basedOn w:val="DefaultParagraphFont"/>
    <w:link w:val="FootnoteText"/>
    <w:uiPriority w:val="99"/>
    <w:semiHidden/>
    <w:rsid w:val="00E552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5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2957">
      <w:bodyDiv w:val="1"/>
      <w:marLeft w:val="0"/>
      <w:marRight w:val="0"/>
      <w:marTop w:val="0"/>
      <w:marBottom w:val="0"/>
      <w:divBdr>
        <w:top w:val="none" w:sz="0" w:space="0" w:color="auto"/>
        <w:left w:val="none" w:sz="0" w:space="0" w:color="auto"/>
        <w:bottom w:val="none" w:sz="0" w:space="0" w:color="auto"/>
        <w:right w:val="none" w:sz="0" w:space="0" w:color="auto"/>
      </w:divBdr>
    </w:div>
    <w:div w:id="110247681">
      <w:bodyDiv w:val="1"/>
      <w:marLeft w:val="0"/>
      <w:marRight w:val="0"/>
      <w:marTop w:val="0"/>
      <w:marBottom w:val="0"/>
      <w:divBdr>
        <w:top w:val="none" w:sz="0" w:space="0" w:color="auto"/>
        <w:left w:val="none" w:sz="0" w:space="0" w:color="auto"/>
        <w:bottom w:val="none" w:sz="0" w:space="0" w:color="auto"/>
        <w:right w:val="none" w:sz="0" w:space="0" w:color="auto"/>
      </w:divBdr>
    </w:div>
    <w:div w:id="175465647">
      <w:bodyDiv w:val="1"/>
      <w:marLeft w:val="0"/>
      <w:marRight w:val="0"/>
      <w:marTop w:val="0"/>
      <w:marBottom w:val="0"/>
      <w:divBdr>
        <w:top w:val="none" w:sz="0" w:space="0" w:color="auto"/>
        <w:left w:val="none" w:sz="0" w:space="0" w:color="auto"/>
        <w:bottom w:val="none" w:sz="0" w:space="0" w:color="auto"/>
        <w:right w:val="none" w:sz="0" w:space="0" w:color="auto"/>
      </w:divBdr>
    </w:div>
    <w:div w:id="282737455">
      <w:bodyDiv w:val="1"/>
      <w:marLeft w:val="0"/>
      <w:marRight w:val="0"/>
      <w:marTop w:val="0"/>
      <w:marBottom w:val="0"/>
      <w:divBdr>
        <w:top w:val="none" w:sz="0" w:space="0" w:color="auto"/>
        <w:left w:val="none" w:sz="0" w:space="0" w:color="auto"/>
        <w:bottom w:val="none" w:sz="0" w:space="0" w:color="auto"/>
        <w:right w:val="none" w:sz="0" w:space="0" w:color="auto"/>
      </w:divBdr>
    </w:div>
    <w:div w:id="409694211">
      <w:bodyDiv w:val="1"/>
      <w:marLeft w:val="0"/>
      <w:marRight w:val="0"/>
      <w:marTop w:val="0"/>
      <w:marBottom w:val="0"/>
      <w:divBdr>
        <w:top w:val="none" w:sz="0" w:space="0" w:color="auto"/>
        <w:left w:val="none" w:sz="0" w:space="0" w:color="auto"/>
        <w:bottom w:val="none" w:sz="0" w:space="0" w:color="auto"/>
        <w:right w:val="none" w:sz="0" w:space="0" w:color="auto"/>
      </w:divBdr>
    </w:div>
    <w:div w:id="430052683">
      <w:bodyDiv w:val="1"/>
      <w:marLeft w:val="0"/>
      <w:marRight w:val="0"/>
      <w:marTop w:val="0"/>
      <w:marBottom w:val="0"/>
      <w:divBdr>
        <w:top w:val="none" w:sz="0" w:space="0" w:color="auto"/>
        <w:left w:val="none" w:sz="0" w:space="0" w:color="auto"/>
        <w:bottom w:val="none" w:sz="0" w:space="0" w:color="auto"/>
        <w:right w:val="none" w:sz="0" w:space="0" w:color="auto"/>
      </w:divBdr>
    </w:div>
    <w:div w:id="439685938">
      <w:bodyDiv w:val="1"/>
      <w:marLeft w:val="0"/>
      <w:marRight w:val="0"/>
      <w:marTop w:val="0"/>
      <w:marBottom w:val="0"/>
      <w:divBdr>
        <w:top w:val="none" w:sz="0" w:space="0" w:color="auto"/>
        <w:left w:val="none" w:sz="0" w:space="0" w:color="auto"/>
        <w:bottom w:val="none" w:sz="0" w:space="0" w:color="auto"/>
        <w:right w:val="none" w:sz="0" w:space="0" w:color="auto"/>
      </w:divBdr>
    </w:div>
    <w:div w:id="827672028">
      <w:bodyDiv w:val="1"/>
      <w:marLeft w:val="0"/>
      <w:marRight w:val="0"/>
      <w:marTop w:val="0"/>
      <w:marBottom w:val="0"/>
      <w:divBdr>
        <w:top w:val="none" w:sz="0" w:space="0" w:color="auto"/>
        <w:left w:val="none" w:sz="0" w:space="0" w:color="auto"/>
        <w:bottom w:val="none" w:sz="0" w:space="0" w:color="auto"/>
        <w:right w:val="none" w:sz="0" w:space="0" w:color="auto"/>
      </w:divBdr>
    </w:div>
    <w:div w:id="933590169">
      <w:bodyDiv w:val="1"/>
      <w:marLeft w:val="0"/>
      <w:marRight w:val="0"/>
      <w:marTop w:val="0"/>
      <w:marBottom w:val="0"/>
      <w:divBdr>
        <w:top w:val="none" w:sz="0" w:space="0" w:color="auto"/>
        <w:left w:val="none" w:sz="0" w:space="0" w:color="auto"/>
        <w:bottom w:val="none" w:sz="0" w:space="0" w:color="auto"/>
        <w:right w:val="none" w:sz="0" w:space="0" w:color="auto"/>
      </w:divBdr>
    </w:div>
    <w:div w:id="1287002701">
      <w:bodyDiv w:val="1"/>
      <w:marLeft w:val="0"/>
      <w:marRight w:val="0"/>
      <w:marTop w:val="0"/>
      <w:marBottom w:val="0"/>
      <w:divBdr>
        <w:top w:val="none" w:sz="0" w:space="0" w:color="auto"/>
        <w:left w:val="none" w:sz="0" w:space="0" w:color="auto"/>
        <w:bottom w:val="none" w:sz="0" w:space="0" w:color="auto"/>
        <w:right w:val="none" w:sz="0" w:space="0" w:color="auto"/>
      </w:divBdr>
    </w:div>
    <w:div w:id="1566184811">
      <w:bodyDiv w:val="1"/>
      <w:marLeft w:val="0"/>
      <w:marRight w:val="0"/>
      <w:marTop w:val="0"/>
      <w:marBottom w:val="0"/>
      <w:divBdr>
        <w:top w:val="none" w:sz="0" w:space="0" w:color="auto"/>
        <w:left w:val="none" w:sz="0" w:space="0" w:color="auto"/>
        <w:bottom w:val="none" w:sz="0" w:space="0" w:color="auto"/>
        <w:right w:val="none" w:sz="0" w:space="0" w:color="auto"/>
      </w:divBdr>
    </w:div>
    <w:div w:id="1735736735">
      <w:bodyDiv w:val="1"/>
      <w:marLeft w:val="0"/>
      <w:marRight w:val="0"/>
      <w:marTop w:val="0"/>
      <w:marBottom w:val="0"/>
      <w:divBdr>
        <w:top w:val="none" w:sz="0" w:space="0" w:color="auto"/>
        <w:left w:val="none" w:sz="0" w:space="0" w:color="auto"/>
        <w:bottom w:val="none" w:sz="0" w:space="0" w:color="auto"/>
        <w:right w:val="none" w:sz="0" w:space="0" w:color="auto"/>
      </w:divBdr>
    </w:div>
    <w:div w:id="1817334243">
      <w:bodyDiv w:val="1"/>
      <w:marLeft w:val="0"/>
      <w:marRight w:val="0"/>
      <w:marTop w:val="0"/>
      <w:marBottom w:val="0"/>
      <w:divBdr>
        <w:top w:val="none" w:sz="0" w:space="0" w:color="auto"/>
        <w:left w:val="none" w:sz="0" w:space="0" w:color="auto"/>
        <w:bottom w:val="none" w:sz="0" w:space="0" w:color="auto"/>
        <w:right w:val="none" w:sz="0" w:space="0" w:color="auto"/>
      </w:divBdr>
    </w:div>
    <w:div w:id="1971394394">
      <w:bodyDiv w:val="1"/>
      <w:marLeft w:val="0"/>
      <w:marRight w:val="0"/>
      <w:marTop w:val="0"/>
      <w:marBottom w:val="0"/>
      <w:divBdr>
        <w:top w:val="none" w:sz="0" w:space="0" w:color="auto"/>
        <w:left w:val="none" w:sz="0" w:space="0" w:color="auto"/>
        <w:bottom w:val="none" w:sz="0" w:space="0" w:color="auto"/>
        <w:right w:val="none" w:sz="0" w:space="0" w:color="auto"/>
      </w:divBdr>
    </w:div>
    <w:div w:id="213871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3CFAE3D542940BAEBA33B1455F011" ma:contentTypeVersion="13" ma:contentTypeDescription="Create a new document." ma:contentTypeScope="" ma:versionID="0b7a2403dd7ec23ac8a9ee4ca0bbbc30">
  <xsd:schema xmlns:xsd="http://www.w3.org/2001/XMLSchema" xmlns:xs="http://www.w3.org/2001/XMLSchema" xmlns:p="http://schemas.microsoft.com/office/2006/metadata/properties" xmlns:ns2="1135d498-d0ea-497b-8949-e180821d68da" xmlns:ns3="ba409e34-312a-4d82-9e03-7dc520493827" targetNamespace="http://schemas.microsoft.com/office/2006/metadata/properties" ma:root="true" ma:fieldsID="6fd6c392f9e2c3fdded5cb575416e25b" ns2:_="" ns3:_="">
    <xsd:import namespace="1135d498-d0ea-497b-8949-e180821d68da"/>
    <xsd:import namespace="ba409e34-312a-4d82-9e03-7dc520493827"/>
    <xsd:element name="properties">
      <xsd:complexType>
        <xsd:sequence>
          <xsd:element name="documentManagement">
            <xsd:complexType>
              <xsd:all>
                <xsd:element ref="ns2:MediaServiceMetadata" minOccurs="0"/>
                <xsd:element ref="ns2:MediaServiceFastMetadata" minOccurs="0"/>
                <xsd:element ref="ns2:Owner"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d498-d0ea-497b-8949-e180821d6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0" nillable="true" ma:displayName="Owner" ma:internalName="Owner">
      <xsd:simpleType>
        <xsd:restriction base="dms:Choice">
          <xsd:enumeration value="Cass"/>
          <xsd:enumeration value="Dan"/>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09e34-312a-4d82-9e03-7dc5204938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1135d498-d0ea-497b-8949-e180821d68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BB43E-4D11-4645-A677-BB74A55C4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d498-d0ea-497b-8949-e180821d68da"/>
    <ds:schemaRef ds:uri="ba409e34-312a-4d82-9e03-7dc520493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376CB-C0BB-4DAC-A7D1-50446B037D76}">
  <ds:schemaRefs>
    <ds:schemaRef ds:uri="http://schemas.microsoft.com/sharepoint/v3/contenttype/forms"/>
  </ds:schemaRefs>
</ds:datastoreItem>
</file>

<file path=customXml/itemProps3.xml><?xml version="1.0" encoding="utf-8"?>
<ds:datastoreItem xmlns:ds="http://schemas.openxmlformats.org/officeDocument/2006/customXml" ds:itemID="{BD4EA18F-AAF5-42BE-B8BF-BA3CC8A06282}">
  <ds:schemaRefs>
    <ds:schemaRef ds:uri="http://schemas.microsoft.com/office/2006/metadata/properties"/>
    <ds:schemaRef ds:uri="http://schemas.microsoft.com/office/infopath/2007/PartnerControls"/>
    <ds:schemaRef ds:uri="1135d498-d0ea-497b-8949-e180821d68da"/>
  </ds:schemaRefs>
</ds:datastoreItem>
</file>

<file path=customXml/itemProps4.xml><?xml version="1.0" encoding="utf-8"?>
<ds:datastoreItem xmlns:ds="http://schemas.openxmlformats.org/officeDocument/2006/customXml" ds:itemID="{2BD6C239-2DF8-477B-B8AA-46E6F202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3631</Words>
  <Characters>20702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 Sanford</dc:creator>
  <cp:keywords/>
  <dc:description/>
  <cp:lastModifiedBy>Matthew Fuchs</cp:lastModifiedBy>
  <cp:revision>6</cp:revision>
  <dcterms:created xsi:type="dcterms:W3CDTF">2020-09-14T20:29:00Z</dcterms:created>
  <dcterms:modified xsi:type="dcterms:W3CDTF">2020-09-23T19:59:00Z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0x0101009793CFAE3D542940BAEBA33B1455F011</vt:lpwstr>
  </property>
</Properties>
</file>